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53AF7B1F" w:rsidR="00AB16D3" w:rsidRPr="008D2088" w:rsidRDefault="00AB16D3" w:rsidP="00AB16D3">
      <w:pPr>
        <w:pStyle w:val="Header"/>
        <w:rPr>
          <w:bCs/>
          <w:noProof w:val="0"/>
          <w:sz w:val="24"/>
          <w:lang w:val="en-GB"/>
        </w:rPr>
      </w:pPr>
      <w:r w:rsidRPr="008D2088">
        <w:rPr>
          <w:bCs/>
          <w:noProof w:val="0"/>
          <w:sz w:val="24"/>
          <w:lang w:val="en-GB"/>
        </w:rPr>
        <w:t>3GPP TSG RAN WG1</w:t>
      </w:r>
      <w:r w:rsidR="00A10AD8">
        <w:rPr>
          <w:bCs/>
          <w:noProof w:val="0"/>
          <w:sz w:val="24"/>
          <w:lang w:val="en-GB"/>
        </w:rPr>
        <w:t>#</w:t>
      </w:r>
      <w:r w:rsidR="006C0F68">
        <w:rPr>
          <w:bCs/>
          <w:noProof w:val="0"/>
          <w:sz w:val="24"/>
          <w:lang w:val="en-GB"/>
        </w:rPr>
        <w:t>8</w:t>
      </w:r>
      <w:r w:rsidR="002F115E">
        <w:rPr>
          <w:bCs/>
          <w:noProof w:val="0"/>
          <w:sz w:val="24"/>
          <w:lang w:val="en-GB"/>
        </w:rPr>
        <w:t>9</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CF0B1C">
        <w:rPr>
          <w:bCs/>
          <w:noProof w:val="0"/>
          <w:sz w:val="24"/>
          <w:lang w:val="en-GB"/>
        </w:rPr>
        <w:tab/>
      </w:r>
      <w:r w:rsidRPr="008D2088">
        <w:rPr>
          <w:bCs/>
          <w:noProof w:val="0"/>
          <w:sz w:val="24"/>
          <w:lang w:val="en-GB"/>
        </w:rPr>
        <w:t>R1-17</w:t>
      </w:r>
      <w:r w:rsidR="00AB2AD8">
        <w:rPr>
          <w:bCs/>
          <w:noProof w:val="0"/>
          <w:sz w:val="24"/>
          <w:lang w:val="en-GB"/>
        </w:rPr>
        <w:t>0</w:t>
      </w:r>
      <w:r w:rsidR="00CF0B1C">
        <w:rPr>
          <w:bCs/>
          <w:noProof w:val="0"/>
          <w:sz w:val="24"/>
          <w:lang w:val="en-GB"/>
        </w:rPr>
        <w:t>8527</w:t>
      </w:r>
    </w:p>
    <w:p w14:paraId="04ED3E0C" w14:textId="77777777" w:rsidR="002F115E" w:rsidRPr="00461210" w:rsidRDefault="002F115E" w:rsidP="002F115E">
      <w:pPr>
        <w:pStyle w:val="Header"/>
        <w:tabs>
          <w:tab w:val="right" w:pos="9639"/>
        </w:tabs>
        <w:rPr>
          <w:bCs/>
          <w:noProof w:val="0"/>
          <w:sz w:val="24"/>
          <w:lang w:val="en-GB"/>
        </w:rPr>
      </w:pPr>
      <w:r>
        <w:rPr>
          <w:noProof w:val="0"/>
          <w:sz w:val="24"/>
          <w:lang w:val="en-GB"/>
        </w:rPr>
        <w:t>Hangzhou, P.R. China, 15</w:t>
      </w:r>
      <w:r w:rsidRPr="00FF159C">
        <w:rPr>
          <w:noProof w:val="0"/>
          <w:sz w:val="24"/>
          <w:vertAlign w:val="superscript"/>
          <w:lang w:val="en-GB"/>
        </w:rPr>
        <w:t>th</w:t>
      </w:r>
      <w:r>
        <w:rPr>
          <w:noProof w:val="0"/>
          <w:sz w:val="24"/>
          <w:lang w:val="en-GB"/>
        </w:rPr>
        <w:t>-19</w:t>
      </w:r>
      <w:r w:rsidRPr="00FF159C">
        <w:rPr>
          <w:noProof w:val="0"/>
          <w:sz w:val="24"/>
          <w:vertAlign w:val="superscript"/>
          <w:lang w:val="en-GB"/>
        </w:rPr>
        <w:t>th</w:t>
      </w:r>
      <w:r>
        <w:rPr>
          <w:noProof w:val="0"/>
          <w:sz w:val="24"/>
          <w:lang w:val="en-GB"/>
        </w:rPr>
        <w:t xml:space="preserve"> May</w:t>
      </w:r>
      <w:r>
        <w:rPr>
          <w:bCs/>
          <w:sz w:val="24"/>
        </w:rPr>
        <w:t xml:space="preserve"> </w:t>
      </w:r>
      <w:r w:rsidRPr="00235B77">
        <w:rPr>
          <w:bCs/>
          <w:sz w:val="24"/>
        </w:rPr>
        <w:t>201</w:t>
      </w:r>
      <w:r>
        <w:rPr>
          <w:bCs/>
          <w:sz w:val="24"/>
        </w:rPr>
        <w:t>7</w:t>
      </w:r>
    </w:p>
    <w:p w14:paraId="48E1CB0D" w14:textId="77777777" w:rsidR="00CA26CE" w:rsidRPr="0016316A" w:rsidRDefault="00CA26CE" w:rsidP="00CA26CE">
      <w:pPr>
        <w:pStyle w:val="Header"/>
        <w:rPr>
          <w:bCs/>
          <w:noProof w:val="0"/>
          <w:sz w:val="24"/>
          <w:lang w:val="en-GB" w:eastAsia="ja-JP"/>
        </w:rPr>
      </w:pPr>
    </w:p>
    <w:p w14:paraId="48E1CB0E" w14:textId="2A291A8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25A4E">
        <w:rPr>
          <w:rFonts w:cs="Arial"/>
          <w:b/>
          <w:bCs/>
          <w:sz w:val="24"/>
        </w:rPr>
        <w:t>7.1.3.3.3</w:t>
      </w:r>
    </w:p>
    <w:p w14:paraId="48E1CB0F"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48E1CB10" w14:textId="0E75EBB9"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E428E5">
        <w:rPr>
          <w:rFonts w:ascii="Arial" w:hAnsi="Arial" w:cs="Arial"/>
          <w:b/>
          <w:bCs/>
          <w:sz w:val="24"/>
        </w:rPr>
        <w:t>On HARQ feedback determination</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4C01BC38" w:rsidR="0034111C" w:rsidRPr="0016316A" w:rsidRDefault="0034111C" w:rsidP="00CF0B1C">
      <w:pPr>
        <w:pStyle w:val="Heading1"/>
        <w:ind w:left="0" w:firstLine="0"/>
      </w:pPr>
      <w:r w:rsidRPr="0016316A">
        <w:t>1</w:t>
      </w:r>
      <w:r w:rsidR="00CF0B1C">
        <w:t>.</w:t>
      </w:r>
      <w:r w:rsidRPr="0016316A">
        <w:tab/>
      </w:r>
      <w:r w:rsidR="00EE7FA7" w:rsidRPr="0016316A">
        <w:t>Introduction</w:t>
      </w:r>
    </w:p>
    <w:p w14:paraId="0A859886" w14:textId="77777777" w:rsidR="006C0F68" w:rsidRDefault="006C0F68" w:rsidP="001200A9">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w:t>
      </w:r>
      <w:bookmarkStart w:id="0" w:name="_GoBack"/>
      <w:bookmarkEnd w:id="0"/>
      <w:r>
        <w:rPr>
          <w:bCs/>
        </w:rPr>
        <w:t>nder the NR work item</w:t>
      </w:r>
    </w:p>
    <w:p w14:paraId="0D222408" w14:textId="21150C5C" w:rsidR="0098380F" w:rsidRPr="000C6EE7" w:rsidRDefault="006C0F68">
      <w:pPr>
        <w:spacing w:after="120"/>
        <w:jc w:val="both"/>
        <w:rPr>
          <w:bCs/>
        </w:rPr>
      </w:pPr>
      <w:r>
        <w:rPr>
          <w:rFonts w:eastAsia="Malgun Gothic"/>
        </w:rPr>
        <w:t>During NR SI</w:t>
      </w:r>
      <w:r w:rsidR="0098380F">
        <w:rPr>
          <w:rFonts w:eastAsia="Malgun Gothic"/>
        </w:rPr>
        <w:t>, following agreements related to the timing of HARQ feedback</w:t>
      </w:r>
      <w:r w:rsidR="002F115E">
        <w:rPr>
          <w:rFonts w:eastAsia="Malgun Gothic"/>
        </w:rPr>
        <w:t xml:space="preserve"> and HARQ feedback content</w:t>
      </w:r>
      <w:r w:rsidR="0098380F">
        <w:rPr>
          <w:rFonts w:eastAsia="Malgun Gothic"/>
        </w:rPr>
        <w:t xml:space="preserve"> were </w:t>
      </w:r>
      <w:r w:rsidR="0098380F">
        <w:rPr>
          <w:bCs/>
        </w:rPr>
        <w:t>made [3]</w:t>
      </w:r>
      <w:r w:rsidR="00AC4B65">
        <w:rPr>
          <w:bCs/>
        </w:rPr>
        <w:t xml:space="preserve"> - [</w:t>
      </w:r>
      <w:r w:rsidR="002F115E">
        <w:rPr>
          <w:bCs/>
        </w:rPr>
        <w:t>6</w:t>
      </w:r>
      <w:r w:rsidR="002B7E43">
        <w:rPr>
          <w:bCs/>
        </w:rPr>
        <w:t>]</w:t>
      </w:r>
      <w:r w:rsidR="0098380F">
        <w:rPr>
          <w:rFonts w:eastAsia="Malgun Gothic"/>
        </w:rPr>
        <w:t>:</w:t>
      </w:r>
    </w:p>
    <w:p w14:paraId="71CD03D2" w14:textId="77777777" w:rsidR="0098380F" w:rsidRPr="000C6EE7" w:rsidRDefault="0098380F"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611882FA" w14:textId="77777777" w:rsidR="0098380F" w:rsidRPr="000C6EE7" w:rsidRDefault="0098380F" w:rsidP="001200A9">
      <w:pPr>
        <w:numPr>
          <w:ilvl w:val="0"/>
          <w:numId w:val="9"/>
        </w:numPr>
        <w:overflowPunct/>
        <w:autoSpaceDE/>
        <w:autoSpaceDN/>
        <w:adjustRightInd/>
        <w:spacing w:after="0"/>
        <w:ind w:left="714" w:hanging="357"/>
        <w:textAlignment w:val="auto"/>
        <w:rPr>
          <w:rFonts w:eastAsia="MS Mincho"/>
          <w:i/>
          <w:lang w:val="en-US" w:eastAsia="ja-JP"/>
        </w:rPr>
      </w:pPr>
      <w:r w:rsidRPr="000C6EE7">
        <w:rPr>
          <w:rFonts w:eastAsia="MS Mincho"/>
          <w:i/>
          <w:lang w:val="en-US" w:eastAsia="ja-JP"/>
        </w:rPr>
        <w:t>Timing relationship between DL data reception and corresponding acknowledgement can be (one or more of, FFS which ones)</w:t>
      </w:r>
    </w:p>
    <w:p w14:paraId="04659C0C" w14:textId="77777777" w:rsidR="0098380F" w:rsidRPr="000C6EE7" w:rsidRDefault="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dynamically indicated by L1 signaling (e.g., DCI)</w:t>
      </w:r>
    </w:p>
    <w:p w14:paraId="49202910"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semi-statically indicated to a UE via higher layer</w:t>
      </w:r>
    </w:p>
    <w:p w14:paraId="71D42732" w14:textId="77777777" w:rsidR="0098380F" w:rsidRPr="000C6EE7" w:rsidRDefault="0098380F" w:rsidP="0098380F">
      <w:pPr>
        <w:numPr>
          <w:ilvl w:val="1"/>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a combination of indication by higher layers and dynamic L1 signaling (e.g., DCI)</w:t>
      </w:r>
    </w:p>
    <w:p w14:paraId="72F0A7F1" w14:textId="77777777" w:rsidR="0098380F" w:rsidRPr="000C6EE7" w:rsidRDefault="0098380F" w:rsidP="0098380F">
      <w:pPr>
        <w:numPr>
          <w:ilvl w:val="0"/>
          <w:numId w:val="9"/>
        </w:numPr>
        <w:overflowPunct/>
        <w:autoSpaceDE/>
        <w:autoSpaceDN/>
        <w:adjustRightInd/>
        <w:spacing w:after="0"/>
        <w:textAlignment w:val="auto"/>
        <w:rPr>
          <w:rFonts w:eastAsia="MS Mincho"/>
          <w:i/>
          <w:lang w:val="en-US" w:eastAsia="ja-JP"/>
        </w:rPr>
      </w:pPr>
      <w:r w:rsidRPr="000C6EE7">
        <w:rPr>
          <w:rFonts w:eastAsia="MS Mincho"/>
          <w:i/>
          <w:lang w:val="en-US" w:eastAsia="ja-JP"/>
        </w:rPr>
        <w:t>FFS: minimum interval between DL data reception and corresponding acknowledgement</w:t>
      </w:r>
    </w:p>
    <w:p w14:paraId="1B1B9B51" w14:textId="58433AB0" w:rsidR="0098380F" w:rsidRPr="00943648" w:rsidRDefault="0098380F" w:rsidP="001200A9">
      <w:pPr>
        <w:numPr>
          <w:ilvl w:val="0"/>
          <w:numId w:val="9"/>
        </w:numPr>
        <w:overflowPunct/>
        <w:autoSpaceDE/>
        <w:autoSpaceDN/>
        <w:adjustRightInd/>
        <w:spacing w:after="120"/>
        <w:ind w:left="714" w:hanging="357"/>
        <w:textAlignment w:val="auto"/>
        <w:rPr>
          <w:rFonts w:eastAsia="Malgun Gothic"/>
          <w:lang w:val="en-US"/>
        </w:rPr>
      </w:pPr>
      <w:r w:rsidRPr="000C6EE7">
        <w:rPr>
          <w:rFonts w:eastAsia="MS Mincho"/>
          <w:i/>
          <w:lang w:val="en-US" w:eastAsia="ja-JP"/>
        </w:rPr>
        <w:t>FFS: common channels (e.g. random access)</w:t>
      </w:r>
    </w:p>
    <w:p w14:paraId="30CC06E2" w14:textId="019C9EE5" w:rsidR="00A10AD8" w:rsidRPr="00A10AD8" w:rsidRDefault="00A10AD8" w:rsidP="008C07FF">
      <w:pPr>
        <w:spacing w:after="60"/>
        <w:rPr>
          <w:rFonts w:eastAsia="MS Mincho"/>
          <w:b/>
          <w:u w:val="single"/>
          <w:lang w:val="en-US" w:eastAsia="ja-JP"/>
        </w:rPr>
      </w:pPr>
      <w:r w:rsidRPr="000C6EE7">
        <w:rPr>
          <w:rFonts w:eastAsia="MS Mincho"/>
          <w:b/>
          <w:highlight w:val="green"/>
          <w:u w:val="single"/>
          <w:lang w:val="en-US" w:eastAsia="ja-JP"/>
        </w:rPr>
        <w:t>Agreements:</w:t>
      </w:r>
    </w:p>
    <w:p w14:paraId="7B8333EE" w14:textId="262F66AD" w:rsidR="00A10AD8" w:rsidRPr="008C07FF" w:rsidRDefault="00A10AD8" w:rsidP="008C07FF">
      <w:pPr>
        <w:pStyle w:val="BodyText"/>
        <w:numPr>
          <w:ilvl w:val="0"/>
          <w:numId w:val="12"/>
        </w:numPr>
        <w:overflowPunct/>
        <w:autoSpaceDE/>
        <w:autoSpaceDN/>
        <w:adjustRightInd/>
        <w:ind w:left="714" w:hanging="357"/>
        <w:jc w:val="both"/>
        <w:textAlignment w:val="auto"/>
        <w:rPr>
          <w:rFonts w:eastAsia="Malgun Gothic"/>
        </w:rPr>
      </w:pPr>
      <w:r w:rsidRPr="00A10AD8">
        <w:rPr>
          <w:i/>
        </w:rPr>
        <w:t xml:space="preserve">It should be possible to </w:t>
      </w:r>
      <w:r w:rsidRPr="00A10AD8">
        <w:rPr>
          <w:rFonts w:hint="eastAsia"/>
          <w:i/>
          <w:lang w:eastAsia="ja-JP"/>
        </w:rPr>
        <w:t xml:space="preserve">dynamically </w:t>
      </w:r>
      <w:r w:rsidRPr="00A10AD8">
        <w:rPr>
          <w:i/>
        </w:rPr>
        <w:t>indicate (at least in combination with RRC) the timing between data reception and hybrid-ARQ acknowledgement transmission as part of the DCI.</w:t>
      </w:r>
    </w:p>
    <w:p w14:paraId="28F1A50C" w14:textId="77777777" w:rsidR="002B7E43" w:rsidRPr="008C07FF" w:rsidRDefault="002B7E43" w:rsidP="008C07FF">
      <w:pPr>
        <w:spacing w:after="60"/>
        <w:rPr>
          <w:rFonts w:eastAsia="MS Mincho"/>
          <w:b/>
          <w:highlight w:val="green"/>
          <w:u w:val="single"/>
          <w:lang w:val="en-US" w:eastAsia="ja-JP"/>
        </w:rPr>
      </w:pPr>
      <w:r w:rsidRPr="008C07FF">
        <w:rPr>
          <w:rFonts w:eastAsia="MS Mincho"/>
          <w:b/>
          <w:highlight w:val="green"/>
          <w:u w:val="single"/>
          <w:lang w:val="en-US" w:eastAsia="ja-JP"/>
        </w:rPr>
        <w:t xml:space="preserve">Agreements: </w:t>
      </w:r>
      <w:r w:rsidRPr="008C07FF">
        <w:rPr>
          <w:rFonts w:eastAsia="MS Mincho" w:hint="eastAsia"/>
          <w:b/>
          <w:highlight w:val="green"/>
          <w:u w:val="single"/>
          <w:lang w:val="en-US" w:eastAsia="ja-JP"/>
        </w:rPr>
        <w:t xml:space="preserve"> </w:t>
      </w:r>
    </w:p>
    <w:p w14:paraId="6915C056" w14:textId="731BC987"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 between DL data reception and corresponding acknowledgem</w:t>
      </w:r>
      <w:r w:rsidR="008C07FF" w:rsidRPr="008C07FF">
        <w:rPr>
          <w:rFonts w:eastAsia="MS Mincho"/>
          <w:i/>
          <w:sz w:val="20"/>
          <w:lang w:val="en-US" w:eastAsia="ja-JP"/>
        </w:rPr>
        <w:t xml:space="preserve">ent is indicated by a field in </w:t>
      </w:r>
      <w:r w:rsidRPr="008C07FF">
        <w:rPr>
          <w:rFonts w:eastAsia="MS Mincho"/>
          <w:i/>
          <w:sz w:val="20"/>
          <w:lang w:val="en-US" w:eastAsia="ja-JP"/>
        </w:rPr>
        <w:t>the DCI from a set of values</w:t>
      </w:r>
    </w:p>
    <w:p w14:paraId="02808314" w14:textId="68157D16" w:rsidR="002B7E43" w:rsidRPr="008C07FF" w:rsidRDefault="002B7E43" w:rsidP="008C07FF">
      <w:pPr>
        <w:pStyle w:val="ListParagraph"/>
        <w:numPr>
          <w:ilvl w:val="1"/>
          <w:numId w:val="9"/>
        </w:numPr>
        <w:rPr>
          <w:rFonts w:eastAsia="MS Mincho"/>
          <w:i/>
          <w:sz w:val="20"/>
          <w:lang w:val="en-US" w:eastAsia="ja-JP"/>
        </w:rPr>
      </w:pPr>
      <w:r w:rsidRPr="008C07FF">
        <w:rPr>
          <w:rFonts w:eastAsia="MS Mincho"/>
          <w:i/>
          <w:sz w:val="20"/>
          <w:lang w:val="en-US" w:eastAsia="ja-JP"/>
        </w:rPr>
        <w:t>The set of values is configured by higher layer</w:t>
      </w:r>
    </w:p>
    <w:p w14:paraId="173155F5" w14:textId="730CF030" w:rsidR="002B7E43" w:rsidRPr="008C07FF" w:rsidRDefault="002B7E43" w:rsidP="008C07FF">
      <w:pPr>
        <w:pStyle w:val="ListParagraph"/>
        <w:numPr>
          <w:ilvl w:val="0"/>
          <w:numId w:val="9"/>
        </w:numPr>
        <w:rPr>
          <w:rFonts w:eastAsia="MS Mincho"/>
          <w:i/>
          <w:sz w:val="20"/>
          <w:lang w:val="en-US" w:eastAsia="ja-JP"/>
        </w:rPr>
      </w:pPr>
      <w:r w:rsidRPr="008C07FF">
        <w:rPr>
          <w:rFonts w:eastAsia="MS Mincho"/>
          <w:i/>
          <w:sz w:val="20"/>
          <w:lang w:val="en-US" w:eastAsia="ja-JP"/>
        </w:rPr>
        <w:t>Timing(s) is (are) defined at least for the case where the timing(s) is (are) unknown to the UE</w:t>
      </w:r>
    </w:p>
    <w:p w14:paraId="5ABB5A9E" w14:textId="5642BE1B" w:rsidR="002B7E43" w:rsidRPr="008C07FF" w:rsidRDefault="002B7E43" w:rsidP="008C07FF">
      <w:pPr>
        <w:pStyle w:val="ListParagraph"/>
        <w:numPr>
          <w:ilvl w:val="1"/>
          <w:numId w:val="9"/>
        </w:numPr>
        <w:spacing w:after="120"/>
        <w:rPr>
          <w:rFonts w:eastAsia="MS Mincho"/>
          <w:i/>
          <w:sz w:val="20"/>
          <w:lang w:val="en-US" w:eastAsia="ja-JP"/>
        </w:rPr>
      </w:pPr>
      <w:r w:rsidRPr="008C07FF">
        <w:rPr>
          <w:rFonts w:eastAsia="MS Mincho"/>
          <w:i/>
          <w:sz w:val="20"/>
          <w:lang w:val="en-US" w:eastAsia="ja-JP"/>
        </w:rPr>
        <w:t>FFS the value for the timing</w:t>
      </w:r>
    </w:p>
    <w:p w14:paraId="7868975A" w14:textId="77777777" w:rsidR="002F115E" w:rsidRPr="002F115E" w:rsidRDefault="002F115E" w:rsidP="002F115E">
      <w:pPr>
        <w:spacing w:after="60"/>
        <w:rPr>
          <w:rFonts w:eastAsia="MS Mincho"/>
          <w:b/>
          <w:highlight w:val="green"/>
          <w:u w:val="single"/>
          <w:lang w:val="fi-FI" w:eastAsia="ja-JP"/>
        </w:rPr>
      </w:pPr>
      <w:r w:rsidRPr="002F115E">
        <w:rPr>
          <w:rFonts w:eastAsia="MS Mincho"/>
          <w:b/>
          <w:bCs/>
          <w:highlight w:val="green"/>
          <w:u w:val="single"/>
          <w:lang w:val="en-US" w:eastAsia="ja-JP"/>
        </w:rPr>
        <w:t>Agreements:</w:t>
      </w:r>
    </w:p>
    <w:p w14:paraId="5F835E44" w14:textId="77777777" w:rsidR="00C42FB2" w:rsidRPr="001200A9" w:rsidRDefault="00F56C62" w:rsidP="001200A9">
      <w:pPr>
        <w:numPr>
          <w:ilvl w:val="0"/>
          <w:numId w:val="15"/>
        </w:numPr>
        <w:tabs>
          <w:tab w:val="left" w:pos="720"/>
        </w:tabs>
        <w:spacing w:after="0"/>
        <w:ind w:hanging="357"/>
        <w:rPr>
          <w:rFonts w:eastAsia="MS Mincho"/>
          <w:i/>
          <w:lang w:val="en-US" w:eastAsia="ja-JP"/>
        </w:rPr>
      </w:pPr>
      <w:r w:rsidRPr="001200A9">
        <w:rPr>
          <w:rFonts w:eastAsia="MS Mincho"/>
          <w:i/>
          <w:lang w:val="en-US" w:eastAsia="ja-JP"/>
        </w:rPr>
        <w:t>Confirm the working assumption as below.</w:t>
      </w:r>
    </w:p>
    <w:p w14:paraId="4DC4393C" w14:textId="77777777" w:rsidR="00C42FB2" w:rsidRPr="001200A9" w:rsidRDefault="00F56C62" w:rsidP="001200A9">
      <w:pPr>
        <w:numPr>
          <w:ilvl w:val="1"/>
          <w:numId w:val="15"/>
        </w:numPr>
        <w:tabs>
          <w:tab w:val="clear" w:pos="1440"/>
        </w:tabs>
        <w:spacing w:after="0"/>
        <w:ind w:hanging="357"/>
        <w:rPr>
          <w:rFonts w:eastAsia="MS Mincho"/>
          <w:i/>
          <w:lang w:val="en-US" w:eastAsia="ja-JP"/>
        </w:rPr>
      </w:pPr>
      <w:r w:rsidRPr="001200A9">
        <w:rPr>
          <w:rFonts w:eastAsia="MS Mincho"/>
          <w:i/>
          <w:lang w:val="en-US" w:eastAsia="ja-JP"/>
        </w:rPr>
        <w:t>CBG-based transmission with single/multi-bit HARQ-ACK feedback is supported in Rel-15, which shall have the following characteristics:</w:t>
      </w:r>
    </w:p>
    <w:p w14:paraId="7BD4872A" w14:textId="77777777" w:rsidR="00C42FB2" w:rsidRPr="001200A9" w:rsidRDefault="00F56C62" w:rsidP="001200A9">
      <w:pPr>
        <w:numPr>
          <w:ilvl w:val="2"/>
          <w:numId w:val="15"/>
        </w:numPr>
        <w:tabs>
          <w:tab w:val="clear" w:pos="2160"/>
        </w:tabs>
        <w:spacing w:after="0"/>
        <w:ind w:hanging="357"/>
        <w:rPr>
          <w:rFonts w:eastAsia="MS Mincho"/>
          <w:i/>
          <w:lang w:val="en-US" w:eastAsia="ja-JP"/>
        </w:rPr>
      </w:pPr>
      <w:r w:rsidRPr="001200A9">
        <w:rPr>
          <w:rFonts w:eastAsia="MS Mincho"/>
          <w:i/>
          <w:lang w:val="en-US" w:eastAsia="ja-JP"/>
        </w:rPr>
        <w:t>Only allow CBG based (re)-transmission for the same TB of a HARQ process</w:t>
      </w:r>
    </w:p>
    <w:p w14:paraId="23524454" w14:textId="77777777" w:rsidR="00C42FB2" w:rsidRPr="001200A9" w:rsidRDefault="00F56C62" w:rsidP="001200A9">
      <w:pPr>
        <w:numPr>
          <w:ilvl w:val="2"/>
          <w:numId w:val="15"/>
        </w:numPr>
        <w:tabs>
          <w:tab w:val="clear" w:pos="2160"/>
        </w:tabs>
        <w:spacing w:after="0"/>
        <w:ind w:hanging="357"/>
        <w:rPr>
          <w:rFonts w:eastAsia="MS Mincho"/>
          <w:i/>
          <w:lang w:val="en-US" w:eastAsia="ja-JP"/>
        </w:rPr>
      </w:pPr>
      <w:r w:rsidRPr="001200A9">
        <w:rPr>
          <w:rFonts w:eastAsia="MS Mincho"/>
          <w:i/>
          <w:lang w:val="en-US" w:eastAsia="ja-JP"/>
        </w:rPr>
        <w:t>CBG can include all CB of a TB regardless of the size of the TB – In the such case, UE reports single HARQ ACK bits for the TB</w:t>
      </w:r>
    </w:p>
    <w:p w14:paraId="26141DEA" w14:textId="77777777" w:rsidR="00C42FB2" w:rsidRPr="001200A9" w:rsidRDefault="00F56C62" w:rsidP="001200A9">
      <w:pPr>
        <w:numPr>
          <w:ilvl w:val="2"/>
          <w:numId w:val="15"/>
        </w:numPr>
        <w:tabs>
          <w:tab w:val="clear" w:pos="2160"/>
        </w:tabs>
        <w:spacing w:after="0"/>
        <w:ind w:hanging="357"/>
        <w:rPr>
          <w:rFonts w:eastAsia="MS Mincho"/>
          <w:i/>
          <w:lang w:val="fi-FI" w:eastAsia="ja-JP"/>
        </w:rPr>
      </w:pPr>
      <w:r w:rsidRPr="001200A9">
        <w:rPr>
          <w:rFonts w:eastAsia="MS Mincho"/>
          <w:i/>
          <w:lang w:val="en-US" w:eastAsia="ja-JP"/>
        </w:rPr>
        <w:t>CBG can include one CB</w:t>
      </w:r>
    </w:p>
    <w:p w14:paraId="0EC5B365" w14:textId="0585EC29" w:rsidR="001200A9" w:rsidRPr="001200A9" w:rsidRDefault="00F56C62" w:rsidP="001200A9">
      <w:pPr>
        <w:numPr>
          <w:ilvl w:val="2"/>
          <w:numId w:val="15"/>
        </w:numPr>
        <w:tabs>
          <w:tab w:val="clear" w:pos="2160"/>
        </w:tabs>
        <w:spacing w:after="120"/>
        <w:ind w:left="2154" w:hanging="357"/>
        <w:rPr>
          <w:rFonts w:eastAsia="MS Mincho"/>
          <w:i/>
          <w:lang w:val="fi-FI" w:eastAsia="ja-JP"/>
        </w:rPr>
      </w:pPr>
      <w:r w:rsidRPr="001200A9">
        <w:rPr>
          <w:rFonts w:eastAsia="MS Mincho"/>
          <w:i/>
          <w:lang w:val="en-US" w:eastAsia="ja-JP"/>
        </w:rPr>
        <w:t>CBG granularity is configurable</w:t>
      </w:r>
    </w:p>
    <w:p w14:paraId="4718FD0F" w14:textId="56697DBA" w:rsidR="000C6EE7" w:rsidRPr="002E758C" w:rsidRDefault="006C0F68" w:rsidP="000C6EE7">
      <w:pPr>
        <w:spacing w:after="120"/>
        <w:jc w:val="both"/>
        <w:rPr>
          <w:bCs/>
        </w:rPr>
      </w:pPr>
      <w:r>
        <w:rPr>
          <w:rFonts w:eastAsia="Malgun Gothic"/>
          <w:lang w:val="en-US"/>
        </w:rPr>
        <w:t>F</w:t>
      </w:r>
      <w:r w:rsidR="000C6EE7">
        <w:rPr>
          <w:rFonts w:eastAsia="Malgun Gothic"/>
        </w:rPr>
        <w:t xml:space="preserve">ollowing agreements related to the multiplexing of different numerologies on a same NR carrier were </w:t>
      </w:r>
      <w:r w:rsidR="000C6EE7">
        <w:rPr>
          <w:bCs/>
        </w:rPr>
        <w:t>made</w:t>
      </w:r>
      <w:r>
        <w:rPr>
          <w:bCs/>
        </w:rPr>
        <w:t xml:space="preserve"> during NR SI</w:t>
      </w:r>
      <w:r w:rsidR="00A10AD8">
        <w:rPr>
          <w:bCs/>
        </w:rPr>
        <w:t xml:space="preserve"> [</w:t>
      </w:r>
      <w:r w:rsidR="002F115E">
        <w:rPr>
          <w:bCs/>
        </w:rPr>
        <w:t>7</w:t>
      </w:r>
      <w:r w:rsidR="00A10AD8">
        <w:rPr>
          <w:bCs/>
        </w:rPr>
        <w:t>]</w:t>
      </w:r>
      <w:r w:rsidR="00833822">
        <w:rPr>
          <w:bCs/>
        </w:rPr>
        <w:t xml:space="preserve">, </w:t>
      </w:r>
      <w:r w:rsidR="00A10AD8">
        <w:rPr>
          <w:bCs/>
        </w:rPr>
        <w:t>[4]:</w:t>
      </w:r>
      <w:r w:rsidR="000C6EE7">
        <w:rPr>
          <w:bCs/>
        </w:rPr>
        <w:t xml:space="preserve"> </w:t>
      </w:r>
    </w:p>
    <w:p w14:paraId="183A84A1" w14:textId="77777777" w:rsidR="000C6EE7" w:rsidRPr="00D21534" w:rsidRDefault="000C6EE7" w:rsidP="008C07FF">
      <w:pPr>
        <w:spacing w:after="60"/>
        <w:rPr>
          <w:rFonts w:eastAsia="MS Mincho"/>
          <w:b/>
          <w:u w:val="single"/>
          <w:lang w:val="en-US" w:eastAsia="ja-JP"/>
        </w:rPr>
      </w:pPr>
      <w:r w:rsidRPr="00D21534">
        <w:rPr>
          <w:rFonts w:eastAsia="MS Mincho" w:hint="eastAsia"/>
          <w:b/>
          <w:highlight w:val="green"/>
          <w:u w:val="single"/>
          <w:lang w:val="en-US" w:eastAsia="ja-JP"/>
        </w:rPr>
        <w:t>Agreements:</w:t>
      </w:r>
    </w:p>
    <w:p w14:paraId="17FED1DB" w14:textId="77777777" w:rsidR="000C6EE7" w:rsidRPr="000C6EE7" w:rsidRDefault="000C6EE7" w:rsidP="000C6EE7">
      <w:pPr>
        <w:numPr>
          <w:ilvl w:val="0"/>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Forward compatibility of NR shall ensure smooth introduction of future services and features with no impact on the access of earlier services and UEs</w:t>
      </w:r>
    </w:p>
    <w:p w14:paraId="25C58F55" w14:textId="77777777" w:rsidR="000C6EE7" w:rsidRPr="000C6EE7" w:rsidRDefault="000C6EE7" w:rsidP="000C6EE7">
      <w:pPr>
        <w:numPr>
          <w:ilvl w:val="1"/>
          <w:numId w:val="10"/>
        </w:numPr>
        <w:overflowPunct/>
        <w:autoSpaceDE/>
        <w:autoSpaceDN/>
        <w:adjustRightInd/>
        <w:spacing w:after="0"/>
        <w:textAlignment w:val="auto"/>
        <w:rPr>
          <w:rFonts w:eastAsia="MS Mincho"/>
          <w:i/>
          <w:lang w:val="en-US" w:eastAsia="ja-JP"/>
        </w:rPr>
      </w:pPr>
      <w:r w:rsidRPr="000C6EE7">
        <w:rPr>
          <w:rFonts w:eastAsia="MS Mincho"/>
          <w:i/>
          <w:lang w:val="en-US" w:eastAsia="ja-JP"/>
        </w:rPr>
        <w:t>Multiplexing different numerologies within a same NR carrier</w:t>
      </w:r>
      <w:r w:rsidRPr="000C6EE7">
        <w:rPr>
          <w:rFonts w:ascii="Century" w:eastAsia="MS Mincho" w:hAnsi="Calibri"/>
          <w:i/>
          <w:color w:val="FF0000"/>
          <w:kern w:val="24"/>
          <w:sz w:val="40"/>
          <w:szCs w:val="40"/>
        </w:rPr>
        <w:t xml:space="preserve"> </w:t>
      </w:r>
      <w:r w:rsidRPr="000C6EE7">
        <w:rPr>
          <w:rFonts w:eastAsia="MS Mincho"/>
          <w:i/>
          <w:lang w:eastAsia="ja-JP"/>
        </w:rPr>
        <w:t xml:space="preserve">bandwidth </w:t>
      </w:r>
      <w:r w:rsidRPr="000C6EE7">
        <w:rPr>
          <w:rFonts w:eastAsia="MS Mincho"/>
          <w:i/>
          <w:lang w:val="en-US" w:eastAsia="ja-JP"/>
        </w:rPr>
        <w:t xml:space="preserve">(from the network perspective) </w:t>
      </w:r>
      <w:r w:rsidRPr="000C6EE7">
        <w:rPr>
          <w:rFonts w:eastAsia="MS Mincho" w:hint="eastAsia"/>
          <w:i/>
          <w:lang w:val="en-US" w:eastAsia="ja-JP"/>
        </w:rPr>
        <w:t>is supported</w:t>
      </w:r>
    </w:p>
    <w:p w14:paraId="27188260" w14:textId="77777777" w:rsidR="000C6EE7" w:rsidRPr="001B5EF3" w:rsidRDefault="000C6EE7" w:rsidP="001200A9">
      <w:pPr>
        <w:numPr>
          <w:ilvl w:val="2"/>
          <w:numId w:val="10"/>
        </w:numPr>
        <w:overflowPunct/>
        <w:autoSpaceDE/>
        <w:autoSpaceDN/>
        <w:adjustRightInd/>
        <w:spacing w:after="120"/>
        <w:ind w:left="2154" w:hanging="357"/>
        <w:textAlignment w:val="auto"/>
        <w:rPr>
          <w:i/>
        </w:rPr>
      </w:pPr>
      <w:r w:rsidRPr="000C6EE7">
        <w:rPr>
          <w:rFonts w:eastAsia="MS Mincho" w:hint="eastAsia"/>
          <w:i/>
          <w:lang w:val="en-US" w:eastAsia="ja-JP"/>
        </w:rPr>
        <w:t>FDM and/or TDM multiplexing can be considered</w:t>
      </w:r>
    </w:p>
    <w:p w14:paraId="4E85D6ED" w14:textId="77777777" w:rsidR="001B5EF3" w:rsidRPr="00D21534" w:rsidRDefault="001B5EF3" w:rsidP="008C07FF">
      <w:pPr>
        <w:spacing w:after="60"/>
        <w:rPr>
          <w:rFonts w:eastAsia="MS Mincho"/>
          <w:b/>
          <w:u w:val="single"/>
          <w:lang w:val="en-US" w:eastAsia="ja-JP"/>
        </w:rPr>
      </w:pPr>
      <w:r w:rsidRPr="00D21534">
        <w:rPr>
          <w:rFonts w:eastAsia="MS Mincho" w:hint="eastAsia"/>
          <w:b/>
          <w:highlight w:val="green"/>
          <w:u w:val="single"/>
          <w:lang w:val="en-US" w:eastAsia="ja-JP"/>
        </w:rPr>
        <w:t>Agreements:</w:t>
      </w:r>
    </w:p>
    <w:p w14:paraId="56E29BF4" w14:textId="118289E4" w:rsidR="001B5EF3" w:rsidRPr="00943648" w:rsidRDefault="001B5EF3" w:rsidP="001B5EF3">
      <w:pPr>
        <w:numPr>
          <w:ilvl w:val="0"/>
          <w:numId w:val="10"/>
        </w:numPr>
        <w:overflowPunct/>
        <w:autoSpaceDE/>
        <w:autoSpaceDN/>
        <w:adjustRightInd/>
        <w:spacing w:after="0"/>
        <w:ind w:hanging="357"/>
        <w:textAlignment w:val="auto"/>
        <w:rPr>
          <w:i/>
        </w:rPr>
      </w:pPr>
      <w:r>
        <w:rPr>
          <w:rFonts w:eastAsia="MS Mincho"/>
          <w:i/>
          <w:lang w:val="en-US" w:eastAsia="ja-JP"/>
        </w:rPr>
        <w:t xml:space="preserve">NR strives for efficient support of dynamic resource allocation of different numerologies in FDM/TDM </w:t>
      </w:r>
      <w:r w:rsidRPr="00943648">
        <w:rPr>
          <w:rFonts w:eastAsia="MS Mincho"/>
          <w:i/>
          <w:lang w:val="en-US" w:eastAsia="ja-JP"/>
        </w:rPr>
        <w:t xml:space="preserve">fashion. </w:t>
      </w:r>
    </w:p>
    <w:p w14:paraId="57F0B25D" w14:textId="7CD07F23" w:rsidR="001B5EF3" w:rsidRPr="0055245B" w:rsidRDefault="001B5EF3" w:rsidP="001B5EF3">
      <w:pPr>
        <w:numPr>
          <w:ilvl w:val="1"/>
          <w:numId w:val="10"/>
        </w:numPr>
        <w:overflowPunct/>
        <w:autoSpaceDE/>
        <w:autoSpaceDN/>
        <w:adjustRightInd/>
        <w:spacing w:after="0"/>
        <w:ind w:hanging="357"/>
        <w:textAlignment w:val="auto"/>
        <w:rPr>
          <w:i/>
        </w:rPr>
      </w:pPr>
      <w:r w:rsidRPr="0055245B">
        <w:rPr>
          <w:rFonts w:eastAsia="MS Mincho"/>
          <w:i/>
          <w:lang w:val="en-US" w:eastAsia="ja-JP"/>
        </w:rPr>
        <w:lastRenderedPageBreak/>
        <w:t>Potential specification impact includes but is not limited to:</w:t>
      </w:r>
    </w:p>
    <w:p w14:paraId="47F77F03" w14:textId="52871C9F"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CSI-RS measurement</w:t>
      </w:r>
    </w:p>
    <w:p w14:paraId="65AA54E1" w14:textId="5819A3CC" w:rsidR="001B5EF3" w:rsidRPr="0055245B" w:rsidRDefault="001B5EF3" w:rsidP="001B5EF3">
      <w:pPr>
        <w:numPr>
          <w:ilvl w:val="2"/>
          <w:numId w:val="10"/>
        </w:numPr>
        <w:overflowPunct/>
        <w:autoSpaceDE/>
        <w:autoSpaceDN/>
        <w:adjustRightInd/>
        <w:spacing w:after="0"/>
        <w:ind w:hanging="357"/>
        <w:textAlignment w:val="auto"/>
        <w:rPr>
          <w:i/>
        </w:rPr>
      </w:pPr>
      <w:r w:rsidRPr="0055245B">
        <w:rPr>
          <w:rFonts w:eastAsia="MS Mincho"/>
          <w:i/>
          <w:lang w:eastAsia="ja-JP"/>
        </w:rPr>
        <w:t>FFS: the time and frequency granularity of dynamic resource allocation</w:t>
      </w:r>
    </w:p>
    <w:p w14:paraId="2DCDD4D4" w14:textId="64EA3A5C" w:rsidR="003879FD" w:rsidRPr="00943648" w:rsidRDefault="003879FD" w:rsidP="0055245B">
      <w:pPr>
        <w:numPr>
          <w:ilvl w:val="1"/>
          <w:numId w:val="10"/>
        </w:numPr>
        <w:overflowPunct/>
        <w:autoSpaceDE/>
        <w:autoSpaceDN/>
        <w:adjustRightInd/>
        <w:spacing w:after="0"/>
        <w:textAlignment w:val="auto"/>
        <w:rPr>
          <w:i/>
        </w:rPr>
      </w:pPr>
      <w:r>
        <w:rPr>
          <w:i/>
        </w:rPr>
        <w:t>FFS: if spectrum confinement (filtering, windowing,…) can be dynamically varied or not</w:t>
      </w:r>
    </w:p>
    <w:p w14:paraId="0D10C6D0" w14:textId="77777777" w:rsidR="00194115" w:rsidRPr="00943648" w:rsidRDefault="00194115" w:rsidP="00943648">
      <w:pPr>
        <w:overflowPunct/>
        <w:autoSpaceDE/>
        <w:autoSpaceDN/>
        <w:adjustRightInd/>
        <w:spacing w:after="0"/>
        <w:ind w:left="1435"/>
        <w:textAlignment w:val="auto"/>
        <w:rPr>
          <w:rFonts w:eastAsia="MS Mincho"/>
          <w:b/>
          <w:sz w:val="18"/>
          <w:highlight w:val="green"/>
          <w:u w:val="single"/>
          <w:lang w:val="en-US" w:eastAsia="ja-JP"/>
        </w:rPr>
      </w:pPr>
    </w:p>
    <w:p w14:paraId="48E1CB1D" w14:textId="11A7B036" w:rsidR="0078539D" w:rsidRDefault="0098380F" w:rsidP="00E13EE4">
      <w:pPr>
        <w:spacing w:after="120"/>
        <w:jc w:val="both"/>
      </w:pPr>
      <w:r>
        <w:rPr>
          <w:bCs/>
          <w:lang w:val="en-US"/>
        </w:rPr>
        <w:t>Flexible HARQ ACK timing facilities e.g. high</w:t>
      </w:r>
      <w:r w:rsidR="00510FD9">
        <w:rPr>
          <w:bCs/>
          <w:lang w:val="en-US"/>
        </w:rPr>
        <w:t>ly flexible UL/DL configuration</w:t>
      </w:r>
      <w:r>
        <w:rPr>
          <w:bCs/>
          <w:lang w:val="en-US"/>
        </w:rPr>
        <w:t xml:space="preserve"> but impacts also </w:t>
      </w:r>
      <w:r>
        <w:rPr>
          <w:bCs/>
        </w:rPr>
        <w:t xml:space="preserve">determination of HARQ feedback </w:t>
      </w:r>
      <w:r w:rsidR="00C0360A">
        <w:rPr>
          <w:bCs/>
        </w:rPr>
        <w:t xml:space="preserve">transmitted </w:t>
      </w:r>
      <w:r>
        <w:rPr>
          <w:bCs/>
        </w:rPr>
        <w:t>on UL.</w:t>
      </w:r>
      <w:r w:rsidR="001200A9">
        <w:rPr>
          <w:bCs/>
        </w:rPr>
        <w:t xml:space="preserve"> HARQ feedback determination will be impacted also by </w:t>
      </w:r>
      <w:r w:rsidR="000E0635">
        <w:rPr>
          <w:bCs/>
        </w:rPr>
        <w:t>C</w:t>
      </w:r>
      <w:r w:rsidR="001200A9">
        <w:rPr>
          <w:bCs/>
        </w:rPr>
        <w:t>BG-based retransmission.</w:t>
      </w:r>
      <w:r>
        <w:rPr>
          <w:bCs/>
        </w:rPr>
        <w:t xml:space="preserve"> Further, if dynamic resource allocation of different numerologies per UE turns out to be agreed by RAN1, it will also impact HARQ feedback determination. These impacts are addressed in</w:t>
      </w:r>
      <w:r>
        <w:rPr>
          <w:bCs/>
          <w:lang w:val="en-US"/>
        </w:rPr>
        <w:t xml:space="preserve"> </w:t>
      </w:r>
      <w:r>
        <w:rPr>
          <w:bCs/>
        </w:rPr>
        <w:t>t</w:t>
      </w:r>
      <w:r w:rsidR="000C6EE7">
        <w:rPr>
          <w:bCs/>
        </w:rPr>
        <w:t>his contribution</w:t>
      </w:r>
      <w:r>
        <w:rPr>
          <w:bCs/>
        </w:rPr>
        <w:t>.</w:t>
      </w:r>
      <w:r w:rsidR="00017C9E">
        <w:rPr>
          <w:bCs/>
        </w:rPr>
        <w:t xml:space="preserve"> </w:t>
      </w:r>
    </w:p>
    <w:p w14:paraId="48E1CB38" w14:textId="4B7A081F" w:rsidR="00536930" w:rsidRDefault="00AB16D3" w:rsidP="00CF0B1C">
      <w:pPr>
        <w:pStyle w:val="Heading1"/>
        <w:ind w:left="0" w:firstLine="0"/>
      </w:pPr>
      <w:r>
        <w:rPr>
          <w:color w:val="000000"/>
        </w:rPr>
        <w:t>2</w:t>
      </w:r>
      <w:r w:rsidR="00CF0B1C">
        <w:rPr>
          <w:color w:val="000000"/>
        </w:rPr>
        <w:t>.</w:t>
      </w:r>
      <w:r w:rsidR="00536930" w:rsidRPr="00A51522">
        <w:rPr>
          <w:color w:val="000000"/>
        </w:rPr>
        <w:tab/>
      </w:r>
      <w:r w:rsidR="00273D2F">
        <w:t>Discussion</w:t>
      </w:r>
      <w:r w:rsidR="00536930">
        <w:t xml:space="preserve"> </w:t>
      </w:r>
    </w:p>
    <w:p w14:paraId="4C17E4AC" w14:textId="5D79D24D" w:rsidR="00510FD9" w:rsidRDefault="0098380F" w:rsidP="005E2A9F">
      <w:pPr>
        <w:pStyle w:val="BodyText"/>
        <w:overflowPunct/>
        <w:autoSpaceDE/>
        <w:autoSpaceDN/>
        <w:adjustRightInd/>
        <w:jc w:val="both"/>
        <w:textAlignment w:val="auto"/>
        <w:rPr>
          <w:rFonts w:eastAsia="MS Mincho"/>
          <w:lang w:val="en-US" w:eastAsia="ja-JP"/>
        </w:rPr>
      </w:pPr>
      <w:r w:rsidRPr="00E653BD">
        <w:rPr>
          <w:lang w:val="en-US"/>
        </w:rPr>
        <w:t xml:space="preserve">In </w:t>
      </w:r>
      <w:r w:rsidR="00C0360A" w:rsidRPr="00E653BD">
        <w:rPr>
          <w:lang w:val="en-US"/>
        </w:rPr>
        <w:t>LTE</w:t>
      </w:r>
      <w:r w:rsidR="00E653BD" w:rsidRPr="00E653BD">
        <w:rPr>
          <w:lang w:val="en-US"/>
        </w:rPr>
        <w:t>,</w:t>
      </w:r>
      <w:r w:rsidR="00E653BD" w:rsidRPr="00E653BD">
        <w:rPr>
          <w:rFonts w:eastAsia="MS Mincho"/>
          <w:lang w:val="en-US" w:eastAsia="ja-JP"/>
        </w:rPr>
        <w:t xml:space="preserve"> the timing relationship between DL data reception and corresponding acknowledgement</w:t>
      </w:r>
      <w:r w:rsidR="00E653BD">
        <w:rPr>
          <w:rFonts w:eastAsia="MS Mincho"/>
          <w:lang w:val="en-US" w:eastAsia="ja-JP"/>
        </w:rPr>
        <w:t xml:space="preserve"> is predetermined in the specification. In LTE TDD, the HARQ ACK timing as well as the DL subframes for which HARQ ACK is reported in a certain UL subframe</w:t>
      </w:r>
      <w:r w:rsidR="00510FD9">
        <w:rPr>
          <w:rFonts w:eastAsia="MS Mincho"/>
          <w:lang w:val="en-US" w:eastAsia="ja-JP"/>
        </w:rPr>
        <w:t xml:space="preserve"> (aka DL association set)</w:t>
      </w:r>
      <w:r w:rsidR="00E653BD">
        <w:rPr>
          <w:rFonts w:eastAsia="MS Mincho"/>
          <w:lang w:val="en-US" w:eastAsia="ja-JP"/>
        </w:rPr>
        <w:t xml:space="preserve"> is determined based on the subframe number and used UL/DL configuration. That kind of approach turns out cumbersome when more flexible UL/D</w:t>
      </w:r>
      <w:r w:rsidR="00510FD9">
        <w:rPr>
          <w:rFonts w:eastAsia="MS Mincho"/>
          <w:lang w:val="en-US" w:eastAsia="ja-JP"/>
        </w:rPr>
        <w:t>L configurations are supported and</w:t>
      </w:r>
      <w:r w:rsidR="00E653BD">
        <w:rPr>
          <w:rFonts w:eastAsia="MS Mincho"/>
          <w:lang w:val="en-US" w:eastAsia="ja-JP"/>
        </w:rPr>
        <w:t xml:space="preserve"> tabulation of all possible combinations becomes </w:t>
      </w:r>
      <w:r w:rsidR="00510FD9">
        <w:rPr>
          <w:rFonts w:eastAsia="MS Mincho"/>
          <w:lang w:val="en-US" w:eastAsia="ja-JP"/>
        </w:rPr>
        <w:t xml:space="preserve">increasingly </w:t>
      </w:r>
      <w:r w:rsidR="00E653BD">
        <w:rPr>
          <w:rFonts w:eastAsia="MS Mincho"/>
          <w:lang w:val="en-US" w:eastAsia="ja-JP"/>
        </w:rPr>
        <w:t xml:space="preserve">complex. This can be seen e.g. with LTE LAA, </w:t>
      </w:r>
      <w:r w:rsidR="00510FD9">
        <w:rPr>
          <w:rFonts w:eastAsia="MS Mincho"/>
          <w:lang w:val="en-US" w:eastAsia="ja-JP"/>
        </w:rPr>
        <w:t xml:space="preserve">where HARQ feedback for LAA SCell is essentially determined as if LAA SCell were FDD SCell – just for the sake of simplicity. </w:t>
      </w:r>
    </w:p>
    <w:p w14:paraId="3FBD9E55" w14:textId="305E1DF2" w:rsidR="009A42FE" w:rsidRDefault="00510FD9" w:rsidP="005E2A9F">
      <w:pPr>
        <w:pStyle w:val="BodyText"/>
        <w:overflowPunct/>
        <w:autoSpaceDE/>
        <w:autoSpaceDN/>
        <w:adjustRightInd/>
        <w:jc w:val="both"/>
        <w:textAlignment w:val="auto"/>
        <w:rPr>
          <w:rFonts w:eastAsia="MS Mincho"/>
          <w:lang w:val="en-US" w:eastAsia="ja-JP"/>
        </w:rPr>
      </w:pPr>
      <w:r>
        <w:rPr>
          <w:rFonts w:eastAsia="MS Mincho"/>
          <w:lang w:val="en-US" w:eastAsia="ja-JP"/>
        </w:rPr>
        <w:t>In NR, highly flexible UL/DL configuration efficiently adapting air interface to the variations on traffic is desired. Correspondingly, determination of HARQ feedback, including determination of HARQ ACK codebook size as well as DL association set (i.e. set of</w:t>
      </w:r>
      <w:r w:rsidRPr="00510FD9">
        <w:rPr>
          <w:rFonts w:eastAsia="MS Mincho"/>
          <w:lang w:val="en-US" w:eastAsia="ja-JP"/>
        </w:rPr>
        <w:t xml:space="preserve"> </w:t>
      </w:r>
      <w:r>
        <w:rPr>
          <w:rFonts w:eastAsia="MS Mincho"/>
          <w:lang w:val="en-US" w:eastAsia="ja-JP"/>
        </w:rPr>
        <w:t>DL</w:t>
      </w:r>
      <w:r w:rsidR="00AD57CD">
        <w:rPr>
          <w:rFonts w:eastAsia="MS Mincho"/>
          <w:lang w:val="en-US" w:eastAsia="ja-JP"/>
        </w:rPr>
        <w:t xml:space="preserve"> slot</w:t>
      </w:r>
      <w:r>
        <w:rPr>
          <w:rFonts w:eastAsia="MS Mincho"/>
          <w:lang w:val="en-US" w:eastAsia="ja-JP"/>
        </w:rPr>
        <w:t xml:space="preserve"> for which HARQ ACK is reported in a certain </w:t>
      </w:r>
      <w:r w:rsidR="00AD57CD">
        <w:rPr>
          <w:rFonts w:eastAsia="MS Mincho"/>
          <w:lang w:val="en-US" w:eastAsia="ja-JP"/>
        </w:rPr>
        <w:t>UL slot</w:t>
      </w:r>
      <w:r>
        <w:rPr>
          <w:rFonts w:eastAsia="MS Mincho"/>
          <w:lang w:val="en-US" w:eastAsia="ja-JP"/>
        </w:rPr>
        <w:t xml:space="preserve">) should be flexible and not limited to a manageable subset of </w:t>
      </w:r>
      <w:r w:rsidR="009A42FE">
        <w:rPr>
          <w:rFonts w:eastAsia="MS Mincho"/>
          <w:lang w:val="en-US" w:eastAsia="ja-JP"/>
        </w:rPr>
        <w:t xml:space="preserve">predetermined </w:t>
      </w:r>
      <w:r>
        <w:rPr>
          <w:rFonts w:eastAsia="MS Mincho"/>
          <w:lang w:val="en-US" w:eastAsia="ja-JP"/>
        </w:rPr>
        <w:t>UL/DL con</w:t>
      </w:r>
      <w:r w:rsidR="009A42FE">
        <w:rPr>
          <w:rFonts w:eastAsia="MS Mincho"/>
          <w:lang w:val="en-US" w:eastAsia="ja-JP"/>
        </w:rPr>
        <w:t xml:space="preserve">figurations. </w:t>
      </w:r>
    </w:p>
    <w:p w14:paraId="6C320136" w14:textId="5FCDD76A" w:rsidR="0017744D" w:rsidRPr="009A42FE" w:rsidRDefault="009A42FE" w:rsidP="005E2A9F">
      <w:pPr>
        <w:jc w:val="both"/>
      </w:pPr>
      <w:r>
        <w:rPr>
          <w:rFonts w:eastAsia="MS Mincho"/>
          <w:lang w:val="en-US" w:eastAsia="ja-JP"/>
        </w:rPr>
        <w:t xml:space="preserve">The determination of HARQ feedback can be based on a simple set of rules using few parameters such as the indicated </w:t>
      </w:r>
      <w:r w:rsidRPr="009A42FE">
        <w:rPr>
          <w:rFonts w:eastAsia="MS Mincho"/>
          <w:lang w:val="en-US" w:eastAsia="ja-JP"/>
        </w:rPr>
        <w:t>t</w:t>
      </w:r>
      <w:r>
        <w:rPr>
          <w:rFonts w:eastAsia="MS Mincho"/>
          <w:lang w:val="en-US" w:eastAsia="ja-JP"/>
        </w:rPr>
        <w:t>iming between DL data</w:t>
      </w:r>
      <w:r w:rsidRPr="009A42FE">
        <w:rPr>
          <w:rFonts w:eastAsia="MS Mincho"/>
          <w:lang w:val="en-US" w:eastAsia="ja-JP"/>
        </w:rPr>
        <w:t xml:space="preserve"> a</w:t>
      </w:r>
      <w:r>
        <w:rPr>
          <w:rFonts w:eastAsia="MS Mincho"/>
          <w:lang w:val="en-US" w:eastAsia="ja-JP"/>
        </w:rPr>
        <w:t>nd associated HARQ ACK as well as the minimum processing time between the DL data reception and transmission of associated HARQ ACK as inputs to the determination.</w:t>
      </w:r>
    </w:p>
    <w:p w14:paraId="5DBC4299" w14:textId="78B12AA3" w:rsidR="00AB16D3" w:rsidRPr="0055245B" w:rsidRDefault="00AB16D3" w:rsidP="00AB16D3">
      <w:pPr>
        <w:rPr>
          <w:b/>
          <w:i/>
        </w:rPr>
      </w:pPr>
      <w:r w:rsidRPr="00833822">
        <w:rPr>
          <w:b/>
          <w:i/>
        </w:rPr>
        <w:t>Proposal #1</w:t>
      </w:r>
      <w:r w:rsidR="00C0360A" w:rsidRPr="0055245B">
        <w:rPr>
          <w:b/>
          <w:i/>
        </w:rPr>
        <w:t xml:space="preserve">: </w:t>
      </w:r>
      <w:r w:rsidR="00A640C1" w:rsidRPr="0055245B">
        <w:rPr>
          <w:b/>
          <w:i/>
        </w:rPr>
        <w:t>Determination of DL association set</w:t>
      </w:r>
      <w:r w:rsidR="00106029" w:rsidRPr="0055245B">
        <w:rPr>
          <w:b/>
          <w:i/>
        </w:rPr>
        <w:t xml:space="preserve"> and codebook size</w:t>
      </w:r>
      <w:r w:rsidR="00A640C1" w:rsidRPr="0055245B">
        <w:rPr>
          <w:b/>
          <w:i/>
        </w:rPr>
        <w:t xml:space="preserve"> </w:t>
      </w:r>
      <w:r w:rsidR="00106029" w:rsidRPr="0055245B">
        <w:rPr>
          <w:b/>
          <w:i/>
        </w:rPr>
        <w:t xml:space="preserve">for HARQ feedback </w:t>
      </w:r>
      <w:r w:rsidR="00A640C1" w:rsidRPr="0055245B">
        <w:rPr>
          <w:b/>
          <w:i/>
        </w:rPr>
        <w:t xml:space="preserve">is </w:t>
      </w:r>
      <w:r w:rsidR="009A42FE" w:rsidRPr="0055245B">
        <w:rPr>
          <w:b/>
          <w:i/>
        </w:rPr>
        <w:t xml:space="preserve">flexible and </w:t>
      </w:r>
      <w:r w:rsidR="00A640C1" w:rsidRPr="0055245B">
        <w:rPr>
          <w:b/>
          <w:i/>
        </w:rPr>
        <w:t xml:space="preserve">based on the indicated </w:t>
      </w:r>
      <w:r w:rsidR="00A640C1" w:rsidRPr="0055245B">
        <w:rPr>
          <w:rFonts w:eastAsia="MS Mincho"/>
          <w:b/>
          <w:i/>
          <w:lang w:val="en-US" w:eastAsia="ja-JP"/>
        </w:rPr>
        <w:t>timing relationship between DL data reception and corresponding acknowledgement</w:t>
      </w:r>
      <w:r w:rsidR="00A640C1" w:rsidRPr="0055245B">
        <w:rPr>
          <w:b/>
          <w:i/>
        </w:rPr>
        <w:t>.</w:t>
      </w:r>
    </w:p>
    <w:p w14:paraId="1310BBE5" w14:textId="763C20E8" w:rsidR="00724005" w:rsidRPr="000C05FC" w:rsidRDefault="00724005" w:rsidP="005E2A9F">
      <w:pPr>
        <w:jc w:val="both"/>
      </w:pPr>
      <w:r>
        <w:rPr>
          <w:rFonts w:eastAsia="MS Mincho"/>
          <w:lang w:val="en-US" w:eastAsia="ja-JP"/>
        </w:rPr>
        <w:t xml:space="preserve">In </w:t>
      </w:r>
      <w:r w:rsidRPr="000C05FC">
        <w:rPr>
          <w:rFonts w:eastAsia="MS Mincho"/>
          <w:lang w:val="en-US" w:eastAsia="ja-JP"/>
        </w:rPr>
        <w:t xml:space="preserve">the case that </w:t>
      </w:r>
      <w:r w:rsidR="000C05FC" w:rsidRPr="000C05FC">
        <w:rPr>
          <w:rFonts w:eastAsia="MS Mincho"/>
          <w:lang w:val="en-US" w:eastAsia="ja-JP"/>
        </w:rPr>
        <w:t xml:space="preserve">the timing between DL data and associated HARQ ACK is indicated dynamically by L1 signaling, </w:t>
      </w:r>
      <w:r w:rsidR="000C05FC" w:rsidRPr="000C05FC">
        <w:t xml:space="preserve">DL association set and HARQ ACK codebook size </w:t>
      </w:r>
      <w:r w:rsidR="00412857" w:rsidRPr="000C05FC">
        <w:rPr>
          <w:rFonts w:eastAsia="MS Mincho"/>
          <w:lang w:val="en-US" w:eastAsia="ja-JP"/>
        </w:rPr>
        <w:t xml:space="preserve">also </w:t>
      </w:r>
      <w:r w:rsidR="000C05FC">
        <w:t xml:space="preserve">need to be determined dynamically. Dynamic determination of HARQ </w:t>
      </w:r>
      <w:r w:rsidR="00AD57CD">
        <w:t xml:space="preserve">ACK </w:t>
      </w:r>
      <w:r w:rsidR="000C05FC">
        <w:t xml:space="preserve">codebook involves inevitable error cases. </w:t>
      </w:r>
      <w:r w:rsidR="00AD57CD">
        <w:t xml:space="preserve">For example, missing DL grant for the first DL slot to be included in the HARQ ACK codebook may lead, depending on the design, erroneous ordering of HARQ ACK bits or erroneous HARQ codebook size. Obviously, appropriate </w:t>
      </w:r>
      <w:r w:rsidR="00AD57CD" w:rsidRPr="005E2A9F">
        <w:t>mechanisms, such as counter DAI in LTE, to mitigate such error cases</w:t>
      </w:r>
      <w:r w:rsidR="005E2A9F" w:rsidRPr="005E2A9F">
        <w:t xml:space="preserve"> need to be employed with dynamic DL association set and HARQ ACK codebook size determination.</w:t>
      </w:r>
    </w:p>
    <w:p w14:paraId="3D7AF0E9" w14:textId="77777777" w:rsidR="005E2A9F" w:rsidRPr="0055245B" w:rsidRDefault="00A640C1" w:rsidP="00A640C1">
      <w:pPr>
        <w:rPr>
          <w:rFonts w:eastAsia="MS Mincho"/>
          <w:b/>
          <w:i/>
          <w:lang w:val="en-US" w:eastAsia="ja-JP"/>
        </w:rPr>
      </w:pPr>
      <w:r w:rsidRPr="00833822">
        <w:rPr>
          <w:b/>
          <w:i/>
        </w:rPr>
        <w:t>Proposal #2</w:t>
      </w:r>
      <w:r w:rsidRPr="0055245B">
        <w:rPr>
          <w:b/>
          <w:i/>
        </w:rPr>
        <w:t xml:space="preserve">: </w:t>
      </w:r>
      <w:r w:rsidR="00106029" w:rsidRPr="0055245B">
        <w:rPr>
          <w:b/>
          <w:i/>
        </w:rPr>
        <w:t xml:space="preserve">DL association set and HARQ ACK codebook size </w:t>
      </w:r>
      <w:r w:rsidR="000C05FC" w:rsidRPr="0055245B">
        <w:rPr>
          <w:b/>
          <w:i/>
        </w:rPr>
        <w:t>are dynamically deter</w:t>
      </w:r>
      <w:r w:rsidR="00106029" w:rsidRPr="0055245B">
        <w:rPr>
          <w:b/>
          <w:i/>
        </w:rPr>
        <w:t>mined in the</w:t>
      </w:r>
      <w:r w:rsidRPr="0055245B">
        <w:rPr>
          <w:b/>
          <w:i/>
        </w:rPr>
        <w:t xml:space="preserve"> case of </w:t>
      </w:r>
      <w:r w:rsidR="00106029" w:rsidRPr="0055245B">
        <w:rPr>
          <w:b/>
          <w:i/>
        </w:rPr>
        <w:t xml:space="preserve">dynamically indicated </w:t>
      </w:r>
      <w:r w:rsidR="00106029" w:rsidRPr="0055245B">
        <w:rPr>
          <w:rFonts w:eastAsia="MS Mincho"/>
          <w:b/>
          <w:i/>
          <w:lang w:val="en-US" w:eastAsia="ja-JP"/>
        </w:rPr>
        <w:t>timing relationship between DL data reception and corresponding acknowledgement</w:t>
      </w:r>
      <w:r w:rsidR="005E2A9F" w:rsidRPr="0055245B">
        <w:rPr>
          <w:rFonts w:eastAsia="MS Mincho"/>
          <w:b/>
          <w:i/>
          <w:lang w:val="en-US" w:eastAsia="ja-JP"/>
        </w:rPr>
        <w:t>.</w:t>
      </w:r>
    </w:p>
    <w:p w14:paraId="05434F60" w14:textId="07725155" w:rsidR="00A640C1" w:rsidRPr="0055245B" w:rsidRDefault="005E2A9F" w:rsidP="00A640C1">
      <w:pPr>
        <w:rPr>
          <w:b/>
          <w:i/>
        </w:rPr>
      </w:pPr>
      <w:r w:rsidRPr="00833822">
        <w:rPr>
          <w:b/>
          <w:i/>
        </w:rPr>
        <w:t>Observation #1</w:t>
      </w:r>
      <w:r w:rsidRPr="0055245B">
        <w:rPr>
          <w:b/>
          <w:i/>
        </w:rPr>
        <w:t>: Appropriate mechanisms, such as counter DAI, to mitigate error cases related to the dynamic determination of DL association set and HARQ ACK codebook size need to be studied.</w:t>
      </w:r>
    </w:p>
    <w:p w14:paraId="1B3F5828" w14:textId="203FDD55" w:rsidR="000C05FC" w:rsidRPr="009A42FE" w:rsidRDefault="005E2A9F" w:rsidP="0055245B">
      <w:pPr>
        <w:jc w:val="both"/>
      </w:pPr>
      <w:r w:rsidRPr="005E2A9F">
        <w:rPr>
          <w:rFonts w:eastAsia="MS Mincho"/>
          <w:lang w:val="en-US" w:eastAsia="ja-JP"/>
        </w:rPr>
        <w:t xml:space="preserve">Currently it is unclear whether </w:t>
      </w:r>
      <w:r w:rsidRPr="005E2A9F">
        <w:rPr>
          <w:bCs/>
        </w:rPr>
        <w:t>dynamic resource allocation of different numerologies per UE on same NR carrier will be supported or not.</w:t>
      </w:r>
      <w:r>
        <w:rPr>
          <w:rFonts w:eastAsia="MS Mincho"/>
          <w:lang w:val="en-US" w:eastAsia="ja-JP"/>
        </w:rPr>
        <w:t xml:space="preserve"> </w:t>
      </w:r>
      <w:r w:rsidR="00E428E5">
        <w:rPr>
          <w:rFonts w:eastAsia="MS Mincho"/>
          <w:lang w:val="en-US" w:eastAsia="ja-JP"/>
        </w:rPr>
        <w:t xml:space="preserve">In the case that </w:t>
      </w:r>
      <w:r w:rsidR="00E428E5">
        <w:rPr>
          <w:bCs/>
        </w:rPr>
        <w:t>different numerologies can be dynamically allocated per UE on the</w:t>
      </w:r>
      <w:r w:rsidR="00E428E5" w:rsidRPr="005E2A9F">
        <w:rPr>
          <w:bCs/>
        </w:rPr>
        <w:t xml:space="preserve"> same NR</w:t>
      </w:r>
      <w:r w:rsidR="00E428E5">
        <w:rPr>
          <w:bCs/>
        </w:rPr>
        <w:t xml:space="preserve"> carrier, HARQ feedback design is further complicated as different numerologies are associated with e.g. different processing times. HARQ feedback for different numerologies may even occur in the same time unit. To avoid excessive complexity, HARQ feedback for different numerologies even on the same NR carrier can be determined separately. The HARQ feedbacks can be transmitted separately with the corresponding numerologies or can be combined into single transmission. </w:t>
      </w:r>
    </w:p>
    <w:p w14:paraId="48E1CB57" w14:textId="06F2FFD4" w:rsidR="0036595A" w:rsidRPr="0055245B" w:rsidRDefault="00106029" w:rsidP="00E428E5">
      <w:pPr>
        <w:rPr>
          <w:b/>
          <w:i/>
        </w:rPr>
      </w:pPr>
      <w:r w:rsidRPr="00833822">
        <w:rPr>
          <w:b/>
          <w:i/>
        </w:rPr>
        <w:t>Observation #</w:t>
      </w:r>
      <w:r w:rsidR="005E2A9F" w:rsidRPr="00833822">
        <w:rPr>
          <w:b/>
          <w:i/>
        </w:rPr>
        <w:t>2</w:t>
      </w:r>
      <w:r w:rsidRPr="0055245B">
        <w:rPr>
          <w:b/>
          <w:i/>
        </w:rPr>
        <w:t xml:space="preserve">: </w:t>
      </w:r>
      <w:r w:rsidRPr="0055245B">
        <w:rPr>
          <w:b/>
          <w:bCs/>
          <w:i/>
        </w:rPr>
        <w:t>If dynamic resource allocation of different numerologies per UE on same NR carrier is supported, HARQ feedback may be determined separately for each numerology.</w:t>
      </w:r>
    </w:p>
    <w:p w14:paraId="48E1CB58" w14:textId="05F8B369" w:rsidR="0034111C" w:rsidRPr="00A51522" w:rsidRDefault="00AB16D3" w:rsidP="00CF0B1C">
      <w:pPr>
        <w:pStyle w:val="Heading1"/>
        <w:ind w:left="0" w:firstLine="0"/>
        <w:rPr>
          <w:color w:val="000000"/>
        </w:rPr>
      </w:pPr>
      <w:r>
        <w:rPr>
          <w:color w:val="000000"/>
        </w:rPr>
        <w:t>3</w:t>
      </w:r>
      <w:r w:rsidR="00CF0B1C">
        <w:rPr>
          <w:color w:val="000000"/>
        </w:rPr>
        <w:t>.</w:t>
      </w:r>
      <w:r w:rsidR="0034111C" w:rsidRPr="00A51522">
        <w:rPr>
          <w:color w:val="000000"/>
        </w:rPr>
        <w:tab/>
      </w:r>
      <w:r w:rsidR="00EE7FA7" w:rsidRPr="00A51522">
        <w:rPr>
          <w:color w:val="000000"/>
        </w:rPr>
        <w:t>Conclusion</w:t>
      </w:r>
      <w:r w:rsidR="00DB39D4" w:rsidRPr="00A51522">
        <w:rPr>
          <w:color w:val="000000"/>
        </w:rPr>
        <w:t>s</w:t>
      </w:r>
    </w:p>
    <w:p w14:paraId="48E1CB59" w14:textId="3C26C449" w:rsidR="00731B79" w:rsidRPr="00943648" w:rsidRDefault="003D3FBA" w:rsidP="006060C2">
      <w:pPr>
        <w:spacing w:after="120"/>
        <w:jc w:val="both"/>
      </w:pPr>
      <w:r w:rsidRPr="00A51522">
        <w:t>In this contribution</w:t>
      </w:r>
      <w:r w:rsidR="0055245B">
        <w:t>,</w:t>
      </w:r>
      <w:r w:rsidRPr="00A51522">
        <w:t xml:space="preserve"> we have </w:t>
      </w:r>
      <w:r w:rsidR="00943648">
        <w:t>considered</w:t>
      </w:r>
      <w:r w:rsidR="00943648" w:rsidRPr="00943648">
        <w:rPr>
          <w:bCs/>
          <w:lang w:val="en-US"/>
        </w:rPr>
        <w:t xml:space="preserve"> </w:t>
      </w:r>
      <w:r w:rsidR="00943648">
        <w:rPr>
          <w:bCs/>
          <w:lang w:val="en-US"/>
        </w:rPr>
        <w:t>the impacts from flexible HARQ ACK timing and from potential</w:t>
      </w:r>
      <w:r w:rsidR="00943648">
        <w:rPr>
          <w:bCs/>
        </w:rPr>
        <w:t xml:space="preserve"> dynamic resource allocation of different numerologies per UE to HARQ feedback determination.</w:t>
      </w:r>
      <w:r w:rsidR="00342AD2">
        <w:rPr>
          <w:bCs/>
        </w:rPr>
        <w:t xml:space="preserve"> 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342AD2">
        <w:rPr>
          <w:bCs/>
        </w:rPr>
        <w:t>:</w:t>
      </w:r>
    </w:p>
    <w:p w14:paraId="61F42DD2" w14:textId="2F6B1387" w:rsidR="00316161" w:rsidRPr="0055245B" w:rsidRDefault="00316161" w:rsidP="0055245B">
      <w:pPr>
        <w:rPr>
          <w:b/>
          <w:i/>
        </w:rPr>
      </w:pPr>
      <w:r w:rsidRPr="00316161">
        <w:rPr>
          <w:b/>
          <w:i/>
        </w:rPr>
        <w:lastRenderedPageBreak/>
        <w:t xml:space="preserve">Proposal #1: </w:t>
      </w:r>
      <w:r w:rsidRPr="00943648">
        <w:rPr>
          <w:b/>
          <w:i/>
        </w:rPr>
        <w:t xml:space="preserve">Determination of DL association set and codebook size for HARQ feedback is </w:t>
      </w:r>
      <w:r w:rsidRPr="00315F80">
        <w:rPr>
          <w:b/>
          <w:i/>
        </w:rPr>
        <w:t xml:space="preserve">flexible and based on the indicated </w:t>
      </w:r>
      <w:r w:rsidRPr="0055245B">
        <w:rPr>
          <w:b/>
          <w:i/>
        </w:rPr>
        <w:t>timing relationship between DL data reception and corresponding acknowledgement</w:t>
      </w:r>
      <w:r w:rsidRPr="00316161">
        <w:rPr>
          <w:b/>
          <w:i/>
        </w:rPr>
        <w:t>.</w:t>
      </w:r>
    </w:p>
    <w:p w14:paraId="347A02FA" w14:textId="77777777" w:rsidR="00316161" w:rsidRPr="0055245B" w:rsidRDefault="00316161" w:rsidP="0055245B">
      <w:pPr>
        <w:rPr>
          <w:b/>
          <w:i/>
        </w:rPr>
      </w:pPr>
      <w:r w:rsidRPr="00316161">
        <w:rPr>
          <w:b/>
          <w:i/>
        </w:rPr>
        <w:t xml:space="preserve">Proposal #2: </w:t>
      </w:r>
      <w:r w:rsidRPr="00943648">
        <w:rPr>
          <w:b/>
          <w:i/>
        </w:rPr>
        <w:t xml:space="preserve">DL association set and HARQ ACK codebook size are dynamically determined in the case of dynamically indicated </w:t>
      </w:r>
      <w:r w:rsidRPr="0055245B">
        <w:rPr>
          <w:b/>
          <w:i/>
        </w:rPr>
        <w:t>timing relationship between DL data reception and corresponding acknowledgement.</w:t>
      </w:r>
    </w:p>
    <w:p w14:paraId="47D11393" w14:textId="77777777" w:rsidR="00316161" w:rsidRPr="0055245B" w:rsidRDefault="00316161" w:rsidP="0055245B">
      <w:pPr>
        <w:rPr>
          <w:b/>
          <w:i/>
        </w:rPr>
      </w:pPr>
      <w:r w:rsidRPr="00316161">
        <w:rPr>
          <w:b/>
          <w:i/>
        </w:rPr>
        <w:t>Observation #</w:t>
      </w:r>
      <w:r w:rsidRPr="00943648">
        <w:rPr>
          <w:b/>
          <w:i/>
        </w:rPr>
        <w:t>1: Appropriate mechanisms, such as counter DAI</w:t>
      </w:r>
      <w:r w:rsidRPr="00315F80">
        <w:rPr>
          <w:b/>
          <w:i/>
        </w:rPr>
        <w:t xml:space="preserve">, to mitigate error cases </w:t>
      </w:r>
      <w:r w:rsidRPr="0055245B">
        <w:rPr>
          <w:b/>
          <w:i/>
        </w:rPr>
        <w:t>related to the dynamic determination of DL association set and HARQ ACK codebook size need to be studied.</w:t>
      </w:r>
    </w:p>
    <w:p w14:paraId="01E1ECAC" w14:textId="61356FB7" w:rsidR="00316161" w:rsidRPr="0055245B" w:rsidRDefault="00316161" w:rsidP="0055245B">
      <w:pPr>
        <w:rPr>
          <w:b/>
          <w:i/>
        </w:rPr>
      </w:pPr>
      <w:r w:rsidRPr="00316161">
        <w:rPr>
          <w:b/>
          <w:i/>
        </w:rPr>
        <w:t>Observation #</w:t>
      </w:r>
      <w:r w:rsidRPr="00943648">
        <w:rPr>
          <w:b/>
          <w:i/>
        </w:rPr>
        <w:t>2: If dynamic resource allocation of different numerologies per UE on same NR carrier is supported, HARQ feedback may be determined separately for each numerology.</w:t>
      </w:r>
    </w:p>
    <w:p w14:paraId="48E1CB64" w14:textId="77777777" w:rsidR="0034111C" w:rsidRPr="00A51522" w:rsidRDefault="0034111C">
      <w:pPr>
        <w:pStyle w:val="Heading1"/>
      </w:pPr>
      <w:r w:rsidRPr="00A51522">
        <w:t>References</w:t>
      </w:r>
      <w:r w:rsidR="00A2459D" w:rsidRPr="00A51522">
        <w:t xml:space="preserve"> </w:t>
      </w:r>
    </w:p>
    <w:p w14:paraId="48E1CB65" w14:textId="54D67FAB" w:rsidR="00055676" w:rsidRPr="00013455" w:rsidRDefault="006C0F68" w:rsidP="00C178FB">
      <w:pPr>
        <w:numPr>
          <w:ilvl w:val="0"/>
          <w:numId w:val="1"/>
        </w:numPr>
        <w:rPr>
          <w:sz w:val="18"/>
        </w:rPr>
      </w:pPr>
      <w:r w:rsidRPr="00BB3CD3">
        <w:rPr>
          <w:lang w:val="en-US"/>
        </w:rPr>
        <w:t>RP-170847, “</w:t>
      </w:r>
      <w:r w:rsidRPr="00BB3CD3">
        <w:rPr>
          <w:i/>
          <w:lang w:val="en-US"/>
        </w:rPr>
        <w:t>New WID on New Radio Access Technology</w:t>
      </w:r>
      <w:r w:rsidR="00D060FF" w:rsidRPr="00013455">
        <w:rPr>
          <w:sz w:val="18"/>
          <w:lang w:eastAsia="zh-CN"/>
        </w:rPr>
        <w:t>”</w:t>
      </w:r>
      <w:r w:rsidR="00055676" w:rsidRPr="00013455">
        <w:rPr>
          <w:sz w:val="18"/>
          <w:lang w:eastAsia="zh-CN"/>
        </w:rPr>
        <w:t xml:space="preserve">, </w:t>
      </w:r>
      <w:r w:rsidR="00D060FF" w:rsidRPr="00013455">
        <w:rPr>
          <w:sz w:val="18"/>
          <w:lang w:eastAsia="zh-CN"/>
        </w:rPr>
        <w:t>NTT DoCoMo</w:t>
      </w:r>
    </w:p>
    <w:p w14:paraId="48E1CB66"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8E1CB67" w14:textId="6DC4082C" w:rsidR="00342AD2" w:rsidRDefault="00342AD2" w:rsidP="00342AD2">
      <w:pPr>
        <w:numPr>
          <w:ilvl w:val="0"/>
          <w:numId w:val="1"/>
        </w:numPr>
        <w:rPr>
          <w:sz w:val="18"/>
        </w:rPr>
      </w:pPr>
      <w:r w:rsidRPr="004C3EC7">
        <w:rPr>
          <w:sz w:val="18"/>
        </w:rPr>
        <w:t>RAN1 Chairman’s Notes, 3GPP TSG RAN WG1 Meeting #86</w:t>
      </w:r>
      <w:r w:rsidR="003735C6">
        <w:rPr>
          <w:sz w:val="18"/>
        </w:rPr>
        <w:t>bis</w:t>
      </w:r>
      <w:r w:rsidRPr="004C3EC7">
        <w:rPr>
          <w:sz w:val="18"/>
        </w:rPr>
        <w:t>, 3G</w:t>
      </w:r>
      <w:r w:rsidR="00A10AD8">
        <w:rPr>
          <w:sz w:val="18"/>
        </w:rPr>
        <w:t>PP</w:t>
      </w:r>
      <w:r w:rsidRPr="004C3EC7">
        <w:rPr>
          <w:sz w:val="18"/>
        </w:rPr>
        <w:t>.</w:t>
      </w:r>
    </w:p>
    <w:p w14:paraId="5D5DF037" w14:textId="6AABEFC5" w:rsidR="00A10AD8" w:rsidRDefault="00A10AD8" w:rsidP="00A10AD8">
      <w:pPr>
        <w:numPr>
          <w:ilvl w:val="0"/>
          <w:numId w:val="1"/>
        </w:numPr>
        <w:rPr>
          <w:sz w:val="18"/>
        </w:rPr>
      </w:pPr>
      <w:r w:rsidRPr="004C3EC7">
        <w:rPr>
          <w:sz w:val="18"/>
        </w:rPr>
        <w:t>RAN1 Chairman’s Not</w:t>
      </w:r>
      <w:r>
        <w:rPr>
          <w:sz w:val="18"/>
        </w:rPr>
        <w:t>es, 3GPP TSG RAN WG1 Meeting #87</w:t>
      </w:r>
      <w:r w:rsidRPr="004C3EC7">
        <w:rPr>
          <w:sz w:val="18"/>
        </w:rPr>
        <w:t>, 3G</w:t>
      </w:r>
      <w:r>
        <w:rPr>
          <w:sz w:val="18"/>
        </w:rPr>
        <w:t>PP</w:t>
      </w:r>
      <w:r w:rsidRPr="004C3EC7">
        <w:rPr>
          <w:sz w:val="18"/>
        </w:rPr>
        <w:t>.</w:t>
      </w:r>
    </w:p>
    <w:p w14:paraId="0D8D8BEE" w14:textId="041D696E" w:rsidR="002B7E43" w:rsidRDefault="002B7E43" w:rsidP="008C07FF">
      <w:pPr>
        <w:numPr>
          <w:ilvl w:val="0"/>
          <w:numId w:val="1"/>
        </w:numPr>
        <w:rPr>
          <w:sz w:val="18"/>
        </w:rPr>
      </w:pPr>
      <w:r w:rsidRPr="004C3EC7">
        <w:rPr>
          <w:sz w:val="18"/>
        </w:rPr>
        <w:t>RAN1 Chairman’s Not</w:t>
      </w:r>
      <w:r>
        <w:rPr>
          <w:sz w:val="18"/>
        </w:rPr>
        <w:t>es, 3GPP TSG RAN WG1 Meeting NR Ad Hoc</w:t>
      </w:r>
      <w:r w:rsidRPr="004C3EC7">
        <w:rPr>
          <w:sz w:val="18"/>
        </w:rPr>
        <w:t>, 3G</w:t>
      </w:r>
      <w:r>
        <w:rPr>
          <w:sz w:val="18"/>
        </w:rPr>
        <w:t>PP</w:t>
      </w:r>
    </w:p>
    <w:p w14:paraId="7229A717" w14:textId="0FC6D4FC" w:rsidR="002F115E" w:rsidRPr="008C07FF" w:rsidRDefault="002F115E" w:rsidP="008C07FF">
      <w:pPr>
        <w:numPr>
          <w:ilvl w:val="0"/>
          <w:numId w:val="1"/>
        </w:numPr>
        <w:rPr>
          <w:sz w:val="18"/>
        </w:rPr>
      </w:pPr>
      <w:r>
        <w:rPr>
          <w:sz w:val="18"/>
        </w:rPr>
        <w:t>R</w:t>
      </w:r>
      <w:r w:rsidRPr="004C3EC7">
        <w:rPr>
          <w:sz w:val="18"/>
        </w:rPr>
        <w:t>AN1 Chairman’s Not</w:t>
      </w:r>
      <w:r>
        <w:rPr>
          <w:sz w:val="18"/>
        </w:rPr>
        <w:t>es, 3GPP TSG RAN WG1 Meeting #88bis</w:t>
      </w:r>
      <w:r w:rsidRPr="004C3EC7">
        <w:rPr>
          <w:sz w:val="18"/>
        </w:rPr>
        <w:t>, 3G</w:t>
      </w:r>
      <w:r>
        <w:rPr>
          <w:sz w:val="18"/>
        </w:rPr>
        <w:t>PP</w:t>
      </w:r>
    </w:p>
    <w:p w14:paraId="4A05F829" w14:textId="2A53FE12" w:rsidR="00A10AD8" w:rsidRDefault="00A10AD8" w:rsidP="00A10AD8">
      <w:pPr>
        <w:numPr>
          <w:ilvl w:val="0"/>
          <w:numId w:val="1"/>
        </w:numPr>
        <w:rPr>
          <w:sz w:val="18"/>
        </w:rPr>
      </w:pPr>
      <w:r w:rsidRPr="004C3EC7">
        <w:rPr>
          <w:sz w:val="18"/>
        </w:rPr>
        <w:t>RAN1 Chairman’s Not</w:t>
      </w:r>
      <w:r>
        <w:rPr>
          <w:sz w:val="18"/>
        </w:rPr>
        <w:t>es, 3GPP TSG RAN WG1 Meeting #85</w:t>
      </w:r>
      <w:r w:rsidRPr="004C3EC7">
        <w:rPr>
          <w:sz w:val="18"/>
        </w:rPr>
        <w:t>, 3G</w:t>
      </w:r>
      <w:r>
        <w:rPr>
          <w:sz w:val="18"/>
        </w:rPr>
        <w:t>PP</w:t>
      </w:r>
      <w:r w:rsidRPr="004C3EC7">
        <w:rPr>
          <w:sz w:val="18"/>
        </w:rPr>
        <w:t>.</w:t>
      </w:r>
    </w:p>
    <w:p w14:paraId="20C3F625" w14:textId="77777777" w:rsidR="00AB16D3" w:rsidRPr="00194115" w:rsidRDefault="00AB16D3" w:rsidP="0055245B">
      <w:pPr>
        <w:rPr>
          <w:lang w:val="en-US"/>
        </w:rPr>
      </w:pPr>
    </w:p>
    <w:p w14:paraId="6385D833" w14:textId="77777777" w:rsidR="00AB16D3" w:rsidRPr="00E67719" w:rsidRDefault="00AB16D3" w:rsidP="00194115">
      <w:pPr>
        <w:spacing w:after="0"/>
        <w:ind w:left="357"/>
        <w:rPr>
          <w:sz w:val="18"/>
        </w:rPr>
      </w:pPr>
    </w:p>
    <w:sectPr w:rsidR="00AB16D3" w:rsidRPr="00E6771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F17B8" w14:textId="77777777" w:rsidR="005B0B63" w:rsidRDefault="005B0B63">
      <w:r>
        <w:separator/>
      </w:r>
    </w:p>
  </w:endnote>
  <w:endnote w:type="continuationSeparator" w:id="0">
    <w:p w14:paraId="65519DCD" w14:textId="77777777" w:rsidR="005B0B63" w:rsidRDefault="005B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D8A54" w14:textId="77777777" w:rsidR="005B0B63" w:rsidRDefault="005B0B63">
      <w:r>
        <w:separator/>
      </w:r>
    </w:p>
  </w:footnote>
  <w:footnote w:type="continuationSeparator" w:id="0">
    <w:p w14:paraId="0EE0D6FA" w14:textId="77777777" w:rsidR="005B0B63" w:rsidRDefault="005B0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hint="default"/>
      </w:rPr>
    </w:lvl>
    <w:lvl w:ilvl="1" w:tplc="3EB4E480">
      <w:numFmt w:val="bullet"/>
      <w:lvlText w:val="–"/>
      <w:lvlJc w:val="left"/>
      <w:pPr>
        <w:tabs>
          <w:tab w:val="num" w:pos="1440"/>
        </w:tabs>
        <w:ind w:left="1440" w:hanging="360"/>
      </w:pPr>
      <w:rPr>
        <w:rFonts w:ascii="Arial" w:hAnsi="Arial" w:hint="default"/>
      </w:rPr>
    </w:lvl>
    <w:lvl w:ilvl="2" w:tplc="9F24AA4E">
      <w:numFmt w:val="bullet"/>
      <w:lvlText w:val="•"/>
      <w:lvlJc w:val="left"/>
      <w:pPr>
        <w:tabs>
          <w:tab w:val="num" w:pos="2160"/>
        </w:tabs>
        <w:ind w:left="2160" w:hanging="360"/>
      </w:pPr>
      <w:rPr>
        <w:rFonts w:ascii="Arial" w:hAnsi="Arial" w:hint="default"/>
      </w:rPr>
    </w:lvl>
    <w:lvl w:ilvl="3" w:tplc="E8ACBCFC" w:tentative="1">
      <w:start w:val="1"/>
      <w:numFmt w:val="bullet"/>
      <w:lvlText w:val="•"/>
      <w:lvlJc w:val="left"/>
      <w:pPr>
        <w:tabs>
          <w:tab w:val="num" w:pos="2880"/>
        </w:tabs>
        <w:ind w:left="2880" w:hanging="360"/>
      </w:pPr>
      <w:rPr>
        <w:rFonts w:ascii="Arial" w:hAnsi="Arial" w:hint="default"/>
      </w:rPr>
    </w:lvl>
    <w:lvl w:ilvl="4" w:tplc="8A6007F2" w:tentative="1">
      <w:start w:val="1"/>
      <w:numFmt w:val="bullet"/>
      <w:lvlText w:val="•"/>
      <w:lvlJc w:val="left"/>
      <w:pPr>
        <w:tabs>
          <w:tab w:val="num" w:pos="3600"/>
        </w:tabs>
        <w:ind w:left="3600" w:hanging="360"/>
      </w:pPr>
      <w:rPr>
        <w:rFonts w:ascii="Arial" w:hAnsi="Arial" w:hint="default"/>
      </w:rPr>
    </w:lvl>
    <w:lvl w:ilvl="5" w:tplc="08E6B3EC" w:tentative="1">
      <w:start w:val="1"/>
      <w:numFmt w:val="bullet"/>
      <w:lvlText w:val="•"/>
      <w:lvlJc w:val="left"/>
      <w:pPr>
        <w:tabs>
          <w:tab w:val="num" w:pos="4320"/>
        </w:tabs>
        <w:ind w:left="4320" w:hanging="360"/>
      </w:pPr>
      <w:rPr>
        <w:rFonts w:ascii="Arial" w:hAnsi="Arial" w:hint="default"/>
      </w:rPr>
    </w:lvl>
    <w:lvl w:ilvl="6" w:tplc="16866B44" w:tentative="1">
      <w:start w:val="1"/>
      <w:numFmt w:val="bullet"/>
      <w:lvlText w:val="•"/>
      <w:lvlJc w:val="left"/>
      <w:pPr>
        <w:tabs>
          <w:tab w:val="num" w:pos="5040"/>
        </w:tabs>
        <w:ind w:left="5040" w:hanging="360"/>
      </w:pPr>
      <w:rPr>
        <w:rFonts w:ascii="Arial" w:hAnsi="Arial" w:hint="default"/>
      </w:rPr>
    </w:lvl>
    <w:lvl w:ilvl="7" w:tplc="9C6EAA74" w:tentative="1">
      <w:start w:val="1"/>
      <w:numFmt w:val="bullet"/>
      <w:lvlText w:val="•"/>
      <w:lvlJc w:val="left"/>
      <w:pPr>
        <w:tabs>
          <w:tab w:val="num" w:pos="5760"/>
        </w:tabs>
        <w:ind w:left="5760" w:hanging="360"/>
      </w:pPr>
      <w:rPr>
        <w:rFonts w:ascii="Arial" w:hAnsi="Arial" w:hint="default"/>
      </w:rPr>
    </w:lvl>
    <w:lvl w:ilvl="8" w:tplc="AB6C01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5"/>
  </w:num>
  <w:num w:numId="5">
    <w:abstractNumId w:val="8"/>
  </w:num>
  <w:num w:numId="6">
    <w:abstractNumId w:val="10"/>
  </w:num>
  <w:num w:numId="7">
    <w:abstractNumId w:val="7"/>
  </w:num>
  <w:num w:numId="8">
    <w:abstractNumId w:val="14"/>
  </w:num>
  <w:num w:numId="9">
    <w:abstractNumId w:val="9"/>
  </w:num>
  <w:num w:numId="10">
    <w:abstractNumId w:val="0"/>
  </w:num>
  <w:num w:numId="11">
    <w:abstractNumId w:val="13"/>
  </w:num>
  <w:num w:numId="12">
    <w:abstractNumId w:val="2"/>
  </w:num>
  <w:num w:numId="13">
    <w:abstractNumId w:val="1"/>
  </w:num>
  <w:num w:numId="14">
    <w:abstractNumId w:val="3"/>
  </w:num>
  <w:num w:numId="1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3286"/>
    <w:rsid w:val="000D344D"/>
    <w:rsid w:val="000D40E7"/>
    <w:rsid w:val="000D584F"/>
    <w:rsid w:val="000E0635"/>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30AC"/>
    <w:rsid w:val="0011339F"/>
    <w:rsid w:val="00113B8F"/>
    <w:rsid w:val="00113EC8"/>
    <w:rsid w:val="00114E96"/>
    <w:rsid w:val="0011644A"/>
    <w:rsid w:val="00117332"/>
    <w:rsid w:val="001200A9"/>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6904"/>
    <w:rsid w:val="00186B0A"/>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599B"/>
    <w:rsid w:val="001F67AA"/>
    <w:rsid w:val="001F7599"/>
    <w:rsid w:val="00204B3A"/>
    <w:rsid w:val="0020535A"/>
    <w:rsid w:val="002055CB"/>
    <w:rsid w:val="00205E5F"/>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150"/>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115E"/>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3FB8"/>
    <w:rsid w:val="0038412E"/>
    <w:rsid w:val="00386053"/>
    <w:rsid w:val="0038771D"/>
    <w:rsid w:val="003879FD"/>
    <w:rsid w:val="003902EC"/>
    <w:rsid w:val="00392491"/>
    <w:rsid w:val="00393E44"/>
    <w:rsid w:val="0039747B"/>
    <w:rsid w:val="00397AB6"/>
    <w:rsid w:val="00397ACA"/>
    <w:rsid w:val="003A10C3"/>
    <w:rsid w:val="003A1AFA"/>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A798B"/>
    <w:rsid w:val="004B23AD"/>
    <w:rsid w:val="004B2965"/>
    <w:rsid w:val="004B4224"/>
    <w:rsid w:val="004B4647"/>
    <w:rsid w:val="004B7455"/>
    <w:rsid w:val="004B74FF"/>
    <w:rsid w:val="004B7CE4"/>
    <w:rsid w:val="004C0401"/>
    <w:rsid w:val="004C0C49"/>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357A"/>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0B63"/>
    <w:rsid w:val="005B3C6B"/>
    <w:rsid w:val="005B3C6D"/>
    <w:rsid w:val="005B4045"/>
    <w:rsid w:val="005B609E"/>
    <w:rsid w:val="005B6DF6"/>
    <w:rsid w:val="005B7B7D"/>
    <w:rsid w:val="005C1948"/>
    <w:rsid w:val="005C22F9"/>
    <w:rsid w:val="005C263C"/>
    <w:rsid w:val="005C2679"/>
    <w:rsid w:val="005C3D44"/>
    <w:rsid w:val="005D059A"/>
    <w:rsid w:val="005D07C5"/>
    <w:rsid w:val="005D21B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3E2A"/>
    <w:rsid w:val="0062462F"/>
    <w:rsid w:val="00624BA1"/>
    <w:rsid w:val="00625A4E"/>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48CB"/>
    <w:rsid w:val="006C0F68"/>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70081A"/>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BE0"/>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2ED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3FFC"/>
    <w:rsid w:val="00894FDC"/>
    <w:rsid w:val="0089716F"/>
    <w:rsid w:val="008A16F9"/>
    <w:rsid w:val="008A1D3E"/>
    <w:rsid w:val="008A4B16"/>
    <w:rsid w:val="008A4D63"/>
    <w:rsid w:val="008A5939"/>
    <w:rsid w:val="008A6D62"/>
    <w:rsid w:val="008B13E9"/>
    <w:rsid w:val="008B3B51"/>
    <w:rsid w:val="008B4057"/>
    <w:rsid w:val="008B4145"/>
    <w:rsid w:val="008B5290"/>
    <w:rsid w:val="008C07FF"/>
    <w:rsid w:val="008C2CFD"/>
    <w:rsid w:val="008C5D47"/>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4D7E"/>
    <w:rsid w:val="00A051D9"/>
    <w:rsid w:val="00A05DF3"/>
    <w:rsid w:val="00A07E08"/>
    <w:rsid w:val="00A10AD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40C1"/>
    <w:rsid w:val="00A64547"/>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2AD8"/>
    <w:rsid w:val="00AB33C3"/>
    <w:rsid w:val="00AB3A15"/>
    <w:rsid w:val="00AB4ECC"/>
    <w:rsid w:val="00AB6601"/>
    <w:rsid w:val="00AB674E"/>
    <w:rsid w:val="00AB6D79"/>
    <w:rsid w:val="00AB7806"/>
    <w:rsid w:val="00AC02C1"/>
    <w:rsid w:val="00AC0AB6"/>
    <w:rsid w:val="00AC10AD"/>
    <w:rsid w:val="00AC1E55"/>
    <w:rsid w:val="00AC3D06"/>
    <w:rsid w:val="00AC429F"/>
    <w:rsid w:val="00AC4B65"/>
    <w:rsid w:val="00AC535E"/>
    <w:rsid w:val="00AC60B4"/>
    <w:rsid w:val="00AD00C5"/>
    <w:rsid w:val="00AD165F"/>
    <w:rsid w:val="00AD2794"/>
    <w:rsid w:val="00AD2DC5"/>
    <w:rsid w:val="00AD3455"/>
    <w:rsid w:val="00AD3CAD"/>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220"/>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27A3"/>
    <w:rsid w:val="00BD3E68"/>
    <w:rsid w:val="00BD4EE6"/>
    <w:rsid w:val="00BD598A"/>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4007"/>
    <w:rsid w:val="00BF711C"/>
    <w:rsid w:val="00BF748E"/>
    <w:rsid w:val="00BF789B"/>
    <w:rsid w:val="00C03309"/>
    <w:rsid w:val="00C0360A"/>
    <w:rsid w:val="00C072FE"/>
    <w:rsid w:val="00C12E39"/>
    <w:rsid w:val="00C14164"/>
    <w:rsid w:val="00C15D8E"/>
    <w:rsid w:val="00C17012"/>
    <w:rsid w:val="00C178FB"/>
    <w:rsid w:val="00C22B28"/>
    <w:rsid w:val="00C257B7"/>
    <w:rsid w:val="00C27115"/>
    <w:rsid w:val="00C272E8"/>
    <w:rsid w:val="00C33359"/>
    <w:rsid w:val="00C348D6"/>
    <w:rsid w:val="00C365E7"/>
    <w:rsid w:val="00C36E34"/>
    <w:rsid w:val="00C404EE"/>
    <w:rsid w:val="00C4171B"/>
    <w:rsid w:val="00C42689"/>
    <w:rsid w:val="00C42988"/>
    <w:rsid w:val="00C42BD4"/>
    <w:rsid w:val="00C42FB2"/>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0B1C"/>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6159"/>
    <w:rsid w:val="00D874DF"/>
    <w:rsid w:val="00D87A12"/>
    <w:rsid w:val="00D930E1"/>
    <w:rsid w:val="00D9415C"/>
    <w:rsid w:val="00D942CC"/>
    <w:rsid w:val="00D94D87"/>
    <w:rsid w:val="00D9620A"/>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59C"/>
    <w:rsid w:val="00DC6C1E"/>
    <w:rsid w:val="00DC7951"/>
    <w:rsid w:val="00DD1C4B"/>
    <w:rsid w:val="00DD1F7B"/>
    <w:rsid w:val="00DD229E"/>
    <w:rsid w:val="00DD3029"/>
    <w:rsid w:val="00DD55E0"/>
    <w:rsid w:val="00DD7C14"/>
    <w:rsid w:val="00DE1904"/>
    <w:rsid w:val="00DE3DBB"/>
    <w:rsid w:val="00DE43A2"/>
    <w:rsid w:val="00DE4A74"/>
    <w:rsid w:val="00DE4B05"/>
    <w:rsid w:val="00DE541C"/>
    <w:rsid w:val="00DE737B"/>
    <w:rsid w:val="00DE737F"/>
    <w:rsid w:val="00DF100B"/>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8E5"/>
    <w:rsid w:val="00E4608B"/>
    <w:rsid w:val="00E46D7F"/>
    <w:rsid w:val="00E501D3"/>
    <w:rsid w:val="00E53A01"/>
    <w:rsid w:val="00E561F7"/>
    <w:rsid w:val="00E564C4"/>
    <w:rsid w:val="00E567C9"/>
    <w:rsid w:val="00E604C4"/>
    <w:rsid w:val="00E60809"/>
    <w:rsid w:val="00E61300"/>
    <w:rsid w:val="00E635B9"/>
    <w:rsid w:val="00E63C10"/>
    <w:rsid w:val="00E653BD"/>
    <w:rsid w:val="00E65D15"/>
    <w:rsid w:val="00E66383"/>
    <w:rsid w:val="00E67719"/>
    <w:rsid w:val="00E67EE5"/>
    <w:rsid w:val="00E7013A"/>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C14B0"/>
    <w:rsid w:val="00EC204E"/>
    <w:rsid w:val="00EC249E"/>
    <w:rsid w:val="00EC2CFF"/>
    <w:rsid w:val="00EC5F2F"/>
    <w:rsid w:val="00EC651E"/>
    <w:rsid w:val="00EC6927"/>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56C62"/>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6C0F6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4547945">
      <w:bodyDiv w:val="1"/>
      <w:marLeft w:val="0"/>
      <w:marRight w:val="0"/>
      <w:marTop w:val="0"/>
      <w:marBottom w:val="0"/>
      <w:divBdr>
        <w:top w:val="none" w:sz="0" w:space="0" w:color="auto"/>
        <w:left w:val="none" w:sz="0" w:space="0" w:color="auto"/>
        <w:bottom w:val="none" w:sz="0" w:space="0" w:color="auto"/>
        <w:right w:val="none" w:sz="0" w:space="0" w:color="auto"/>
      </w:divBdr>
      <w:divsChild>
        <w:div w:id="419913398">
          <w:marLeft w:val="547"/>
          <w:marRight w:val="0"/>
          <w:marTop w:val="0"/>
          <w:marBottom w:val="0"/>
          <w:divBdr>
            <w:top w:val="none" w:sz="0" w:space="0" w:color="auto"/>
            <w:left w:val="none" w:sz="0" w:space="0" w:color="auto"/>
            <w:bottom w:val="none" w:sz="0" w:space="0" w:color="auto"/>
            <w:right w:val="none" w:sz="0" w:space="0" w:color="auto"/>
          </w:divBdr>
        </w:div>
        <w:div w:id="829563559">
          <w:marLeft w:val="1166"/>
          <w:marRight w:val="0"/>
          <w:marTop w:val="0"/>
          <w:marBottom w:val="0"/>
          <w:divBdr>
            <w:top w:val="none" w:sz="0" w:space="0" w:color="auto"/>
            <w:left w:val="none" w:sz="0" w:space="0" w:color="auto"/>
            <w:bottom w:val="none" w:sz="0" w:space="0" w:color="auto"/>
            <w:right w:val="none" w:sz="0" w:space="0" w:color="auto"/>
          </w:divBdr>
        </w:div>
        <w:div w:id="1937981696">
          <w:marLeft w:val="1800"/>
          <w:marRight w:val="0"/>
          <w:marTop w:val="0"/>
          <w:marBottom w:val="0"/>
          <w:divBdr>
            <w:top w:val="none" w:sz="0" w:space="0" w:color="auto"/>
            <w:left w:val="none" w:sz="0" w:space="0" w:color="auto"/>
            <w:bottom w:val="none" w:sz="0" w:space="0" w:color="auto"/>
            <w:right w:val="none" w:sz="0" w:space="0" w:color="auto"/>
          </w:divBdr>
        </w:div>
        <w:div w:id="249703487">
          <w:marLeft w:val="1800"/>
          <w:marRight w:val="0"/>
          <w:marTop w:val="0"/>
          <w:marBottom w:val="0"/>
          <w:divBdr>
            <w:top w:val="none" w:sz="0" w:space="0" w:color="auto"/>
            <w:left w:val="none" w:sz="0" w:space="0" w:color="auto"/>
            <w:bottom w:val="none" w:sz="0" w:space="0" w:color="auto"/>
            <w:right w:val="none" w:sz="0" w:space="0" w:color="auto"/>
          </w:divBdr>
        </w:div>
        <w:div w:id="847862981">
          <w:marLeft w:val="1800"/>
          <w:marRight w:val="0"/>
          <w:marTop w:val="0"/>
          <w:marBottom w:val="0"/>
          <w:divBdr>
            <w:top w:val="none" w:sz="0" w:space="0" w:color="auto"/>
            <w:left w:val="none" w:sz="0" w:space="0" w:color="auto"/>
            <w:bottom w:val="none" w:sz="0" w:space="0" w:color="auto"/>
            <w:right w:val="none" w:sz="0" w:space="0" w:color="auto"/>
          </w:divBdr>
        </w:div>
        <w:div w:id="1684045544">
          <w:marLeft w:val="180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4998377">
      <w:bodyDiv w:val="1"/>
      <w:marLeft w:val="0"/>
      <w:marRight w:val="0"/>
      <w:marTop w:val="0"/>
      <w:marBottom w:val="0"/>
      <w:divBdr>
        <w:top w:val="none" w:sz="0" w:space="0" w:color="auto"/>
        <w:left w:val="none" w:sz="0" w:space="0" w:color="auto"/>
        <w:bottom w:val="none" w:sz="0" w:space="0" w:color="auto"/>
        <w:right w:val="none" w:sz="0" w:space="0" w:color="auto"/>
      </w:divBdr>
      <w:divsChild>
        <w:div w:id="1411735922">
          <w:marLeft w:val="547"/>
          <w:marRight w:val="0"/>
          <w:marTop w:val="0"/>
          <w:marBottom w:val="0"/>
          <w:divBdr>
            <w:top w:val="none" w:sz="0" w:space="0" w:color="auto"/>
            <w:left w:val="none" w:sz="0" w:space="0" w:color="auto"/>
            <w:bottom w:val="none" w:sz="0" w:space="0" w:color="auto"/>
            <w:right w:val="none" w:sz="0" w:space="0" w:color="auto"/>
          </w:divBdr>
        </w:div>
        <w:div w:id="862091526">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SP-5AIRPNAIUNRU-1830940522-890</_dlc_DocId>
    <_dlc_DocIdUrl xmlns="71c5aaf6-e6ce-465b-b873-5148d2a4c105">
      <Url>https://nokia.sharepoint.com/sites/c5g/5gradio/_layouts/15/DocIdRedir.aspx?ID=SP-5AIRPNAIUNRU-1830940522-890</Url>
      <Description>SP-5AIRPNAIUNRU-1830940522-890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5441D7E-4F9F-4224-AF66-E1F8DC004DA8}">
  <ds:schemaRefs>
    <ds:schemaRef ds:uri="http://schemas.microsoft.com/sharepoint/events"/>
  </ds:schemaRefs>
</ds:datastoreItem>
</file>

<file path=customXml/itemProps3.xml><?xml version="1.0" encoding="utf-8"?>
<ds:datastoreItem xmlns:ds="http://schemas.openxmlformats.org/officeDocument/2006/customXml" ds:itemID="{B01F18FE-E5FD-4CA5-8782-1BB25763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3b34c8f0-1ef5-4d1e-bb66-517ce7fe7356"/>
    <ds:schemaRef ds:uri="http://purl.org/dc/dcmitype/"/>
    <ds:schemaRef ds:uri="http://www.w3.org/XML/1998/namespace"/>
    <ds:schemaRef ds:uri="http://purl.org/dc/terms/"/>
    <ds:schemaRef ds:uri="71c5aaf6-e6ce-465b-b873-5148d2a4c105"/>
    <ds:schemaRef ds:uri="http://schemas.microsoft.com/office/2006/documentManagement/types"/>
    <ds:schemaRef ds:uri="http://schemas.openxmlformats.org/package/2006/metadata/core-properties"/>
    <ds:schemaRef ds:uri="95d2e41d-1f11-4347-bb1c-11d6a32975dd"/>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81639F9F-D5BA-4652-891F-5AB346097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925</Words>
  <Characters>7499</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2017-05-05T12:41:00Z</dcterms:created>
  <dcterms:modified xsi:type="dcterms:W3CDTF">2017-05-05T12:41:00Z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d54f1e91-ba7d-421f-9a56-c3d6cf20338c</vt:lpwstr>
  </property>
  <property fmtid="{D5CDD505-2E9C-101B-9397-08002B2CF9AE}" pid="9" name="_AdHocReviewCycleID">
    <vt:i4>1174212068</vt:i4>
  </property>
  <property fmtid="{D5CDD505-2E9C-101B-9397-08002B2CF9AE}" pid="10" name="_EmailSubject">
    <vt:lpwstr>[RAN1#89] Tdoc drafts related to UL ctrl</vt:lpwstr>
  </property>
  <property fmtid="{D5CDD505-2E9C-101B-9397-08002B2CF9AE}" pid="11" name="_AuthorEmail">
    <vt:lpwstr>emad.farag@nokia.com</vt:lpwstr>
  </property>
  <property fmtid="{D5CDD505-2E9C-101B-9397-08002B2CF9AE}" pid="12" name="_AuthorEmailDisplayName">
    <vt:lpwstr>Farag, Emad (Nokia - US/Murray Hill)</vt:lpwstr>
  </property>
  <property fmtid="{D5CDD505-2E9C-101B-9397-08002B2CF9AE}" pid="13" name="_ReviewingToolsShownOnce">
    <vt:lpwstr/>
  </property>
</Properties>
</file>